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07E66" w14:textId="77777777" w:rsidR="00871B59" w:rsidRDefault="00B0435B">
      <w:pPr>
        <w:ind w:hanging="550"/>
        <w:rPr>
          <w:sz w:val="24"/>
        </w:rPr>
      </w:pPr>
      <w:r>
        <w:rPr>
          <w:b/>
          <w:color w:val="00CCFF"/>
          <w:sz w:val="24"/>
        </w:rPr>
        <w:t>Abstract</w:t>
      </w:r>
      <w:r>
        <w:rPr>
          <w:color w:val="00CCFF"/>
          <w:sz w:val="24"/>
        </w:rPr>
        <w:t xml:space="preserve"> </w:t>
      </w:r>
      <w:r>
        <w:rPr>
          <w:i/>
          <w:color w:val="FF0000"/>
          <w:sz w:val="24"/>
        </w:rPr>
        <w:t xml:space="preserve">(in English – Times New Roman 12 - max. </w:t>
      </w:r>
      <w:r>
        <w:rPr>
          <w:i/>
          <w:color w:val="FF0000"/>
          <w:sz w:val="24"/>
          <w:u w:val="single"/>
        </w:rPr>
        <w:t>one</w:t>
      </w:r>
      <w:r>
        <w:rPr>
          <w:i/>
          <w:color w:val="FF0000"/>
          <w:sz w:val="24"/>
        </w:rPr>
        <w:t xml:space="preserve"> </w:t>
      </w:r>
      <w:proofErr w:type="gramStart"/>
      <w:r>
        <w:rPr>
          <w:i/>
          <w:color w:val="FF0000"/>
          <w:sz w:val="24"/>
        </w:rPr>
        <w:t xml:space="preserve">page)   </w:t>
      </w:r>
      <w:proofErr w:type="gramEnd"/>
      <w:r>
        <w:rPr>
          <w:i/>
          <w:color w:val="FF0000"/>
          <w:sz w:val="24"/>
        </w:rPr>
        <w:t xml:space="preserve">     </w:t>
      </w:r>
      <w:r>
        <w:rPr>
          <w:color w:val="00CCFF"/>
          <w:sz w:val="24"/>
        </w:rPr>
        <w:t>Deadline for receipt: March 31, 2024</w:t>
      </w:r>
      <w:r>
        <w:rPr>
          <w:sz w:val="20"/>
        </w:rPr>
        <w:t xml:space="preserve"> </w:t>
      </w:r>
    </w:p>
    <w:p w14:paraId="6BBDEA64" w14:textId="77777777" w:rsidR="00871B59" w:rsidRDefault="00871B59">
      <w:pPr>
        <w:ind w:hanging="550"/>
        <w:outlineLvl w:val="0"/>
        <w:rPr>
          <w:i/>
          <w:color w:val="FF0000"/>
          <w:sz w:val="24"/>
        </w:rPr>
      </w:pPr>
    </w:p>
    <w:tbl>
      <w:tblPr>
        <w:tblW w:w="10120" w:type="dxa"/>
        <w:tblInd w:w="-4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0"/>
      </w:tblGrid>
      <w:tr w:rsidR="00871B59" w14:paraId="4C0B02FC" w14:textId="77777777">
        <w:trPr>
          <w:trHeight w:val="2420"/>
        </w:trPr>
        <w:tc>
          <w:tcPr>
            <w:tcW w:w="10120" w:type="dxa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14:paraId="4190B3F2" w14:textId="77777777" w:rsidR="00871B59" w:rsidRDefault="00B0435B">
            <w:pPr>
              <w:rPr>
                <w:b/>
                <w:sz w:val="20"/>
              </w:rPr>
            </w:pPr>
            <w:r>
              <w:rPr>
                <w:color w:val="00CCFF"/>
                <w:sz w:val="24"/>
              </w:rPr>
              <w:t>Title:</w:t>
            </w:r>
            <w:r>
              <w:rPr>
                <w:sz w:val="20"/>
              </w:rPr>
              <w:t xml:space="preserve"> </w:t>
            </w:r>
            <w:r>
              <w:rPr>
                <w:sz w:val="24"/>
              </w:rPr>
              <w:t>Evaluating the Safety and Efficacy of Propofol and Sufentanil Combination for Endoscopic Sedation: A Propensity-matched Cohort Study</w:t>
            </w:r>
          </w:p>
          <w:p w14:paraId="67541BC2" w14:textId="77777777" w:rsidR="00871B59" w:rsidRDefault="00871B59">
            <w:pPr>
              <w:rPr>
                <w:sz w:val="20"/>
              </w:rPr>
            </w:pPr>
          </w:p>
          <w:p w14:paraId="20B9E14E" w14:textId="77777777" w:rsidR="00871B59" w:rsidRDefault="00B0435B">
            <w:pPr>
              <w:rPr>
                <w:rFonts w:cstheme="minorHAnsi"/>
                <w:sz w:val="24"/>
                <w:szCs w:val="24"/>
              </w:rPr>
            </w:pPr>
            <w:r>
              <w:rPr>
                <w:color w:val="00CCFF"/>
                <w:sz w:val="24"/>
              </w:rPr>
              <w:t>Author(s):</w:t>
            </w:r>
            <w:r>
              <w:rPr>
                <w:sz w:val="20"/>
              </w:rPr>
              <w:t xml:space="preserve">  </w:t>
            </w:r>
            <w:proofErr w:type="spellStart"/>
            <w:r>
              <w:rPr>
                <w:rFonts w:cstheme="minorHAnsi"/>
                <w:sz w:val="24"/>
                <w:szCs w:val="24"/>
              </w:rPr>
              <w:t>Loxhay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J.</w:t>
            </w:r>
            <w:r>
              <w:rPr>
                <w:sz w:val="24"/>
                <w:vertAlign w:val="superscript"/>
              </w:rPr>
              <w:t xml:space="preserve"> 1</w:t>
            </w:r>
            <w:r>
              <w:rPr>
                <w:rFonts w:cstheme="minorHAnsi"/>
                <w:sz w:val="24"/>
                <w:szCs w:val="24"/>
              </w:rPr>
              <w:t xml:space="preserve">, Maseri A², </w:t>
            </w:r>
            <w:proofErr w:type="spellStart"/>
            <w:r>
              <w:rPr>
                <w:rFonts w:cstheme="minorHAnsi"/>
                <w:sz w:val="24"/>
                <w:szCs w:val="24"/>
              </w:rPr>
              <w:t>Bairy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L.².</w:t>
            </w:r>
          </w:p>
          <w:p w14:paraId="16054288" w14:textId="77777777" w:rsidR="00871B59" w:rsidRDefault="00871B59">
            <w:pPr>
              <w:rPr>
                <w:sz w:val="20"/>
              </w:rPr>
            </w:pPr>
          </w:p>
          <w:p w14:paraId="62D62309" w14:textId="77777777" w:rsidR="00871B59" w:rsidRDefault="00B0435B">
            <w:pPr>
              <w:rPr>
                <w:sz w:val="16"/>
              </w:rPr>
            </w:pPr>
            <w:r>
              <w:rPr>
                <w:rFonts w:ascii="Times" w:hAnsi="Times"/>
                <w:color w:val="00CCFF"/>
              </w:rPr>
              <w:t>Hospital/Institute</w:t>
            </w:r>
            <w:r>
              <w:rPr>
                <w:color w:val="00CCFF"/>
              </w:rPr>
              <w:t>:</w:t>
            </w: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 xml:space="preserve">1. </w:t>
            </w:r>
            <w:proofErr w:type="spellStart"/>
            <w:r>
              <w:rPr>
                <w:sz w:val="16"/>
              </w:rPr>
              <w:t>Cliniques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Universitaires</w:t>
            </w:r>
            <w:proofErr w:type="spellEnd"/>
            <w:r>
              <w:rPr>
                <w:sz w:val="16"/>
              </w:rPr>
              <w:t xml:space="preserve"> Saint-Luc, Department of Anesthesiology, </w:t>
            </w:r>
            <w:proofErr w:type="spellStart"/>
            <w:r>
              <w:rPr>
                <w:sz w:val="16"/>
              </w:rPr>
              <w:t>Woluwé</w:t>
            </w:r>
            <w:proofErr w:type="spellEnd"/>
            <w:r>
              <w:rPr>
                <w:sz w:val="16"/>
              </w:rPr>
              <w:t xml:space="preserve">-Saint-Lambert, </w:t>
            </w:r>
            <w:proofErr w:type="gramStart"/>
            <w:r>
              <w:rPr>
                <w:sz w:val="16"/>
              </w:rPr>
              <w:t>Belgium ;</w:t>
            </w:r>
            <w:proofErr w:type="gramEnd"/>
            <w:r>
              <w:rPr>
                <w:sz w:val="16"/>
              </w:rPr>
              <w:t xml:space="preserve"> 2. CHU UCL Namur, Department of Anesthesiology, Yvoir, Belgium</w:t>
            </w:r>
            <w:r>
              <w:rPr>
                <w:rFonts w:ascii="Times" w:eastAsia="Calibri" w:hAnsi="Times" w:cs="Calibri"/>
                <w:i/>
              </w:rPr>
              <w:t>)</w:t>
            </w:r>
          </w:p>
        </w:tc>
      </w:tr>
      <w:tr w:rsidR="00871B59" w14:paraId="575AB8BE" w14:textId="77777777">
        <w:trPr>
          <w:trHeight w:val="11330"/>
        </w:trPr>
        <w:tc>
          <w:tcPr>
            <w:tcW w:w="10120" w:type="dxa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14:paraId="5D7E5AE8" w14:textId="77777777" w:rsidR="00871B59" w:rsidRDefault="00B0435B">
            <w:pPr>
              <w:jc w:val="both"/>
              <w:rPr>
                <w:szCs w:val="22"/>
              </w:rPr>
            </w:pPr>
            <w:r>
              <w:rPr>
                <w:b/>
                <w:szCs w:val="22"/>
              </w:rPr>
              <w:t>Objective:</w:t>
            </w:r>
            <w:r>
              <w:rPr>
                <w:szCs w:val="22"/>
              </w:rPr>
              <w:t xml:space="preserve"> </w:t>
            </w:r>
          </w:p>
          <w:p w14:paraId="53725C8F" w14:textId="1AEE5766" w:rsidR="00871B59" w:rsidRDefault="00B0435B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A retrospe</w:t>
            </w:r>
            <w:r>
              <w:rPr>
                <w:sz w:val="24"/>
                <w:szCs w:val="22"/>
              </w:rPr>
              <w:t xml:space="preserve">ctive analysis was conducted on </w:t>
            </w:r>
            <w:r>
              <w:rPr>
                <w:sz w:val="24"/>
                <w:szCs w:val="22"/>
              </w:rPr>
              <w:t>1326</w:t>
            </w:r>
            <w:r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 xml:space="preserve">cases to evaluate the effects of administering 5 </w:t>
            </w:r>
            <w:r w:rsidR="003662F8">
              <w:rPr>
                <w:sz w:val="24"/>
                <w:szCs w:val="22"/>
              </w:rPr>
              <w:t xml:space="preserve">mcg </w:t>
            </w:r>
            <w:proofErr w:type="spellStart"/>
            <w:r w:rsidR="003662F8">
              <w:rPr>
                <w:sz w:val="24"/>
                <w:szCs w:val="22"/>
              </w:rPr>
              <w:t>sufentanil</w:t>
            </w:r>
            <w:proofErr w:type="spellEnd"/>
            <w:r>
              <w:rPr>
                <w:sz w:val="24"/>
                <w:szCs w:val="22"/>
              </w:rPr>
              <w:t xml:space="preserve"> during colonoscopy </w:t>
            </w:r>
            <w:r>
              <w:rPr>
                <w:sz w:val="24"/>
                <w:szCs w:val="22"/>
              </w:rPr>
              <w:t>procedures</w:t>
            </w:r>
            <w:r w:rsidR="001F1561">
              <w:rPr>
                <w:sz w:val="24"/>
                <w:szCs w:val="22"/>
              </w:rPr>
              <w:t>,</w:t>
            </w:r>
            <w:r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 xml:space="preserve">in some cases associated with </w:t>
            </w:r>
            <w:r w:rsidR="001F1561">
              <w:rPr>
                <w:sz w:val="24"/>
                <w:szCs w:val="22"/>
              </w:rPr>
              <w:t>a gastroscopy</w:t>
            </w:r>
            <w:r>
              <w:rPr>
                <w:sz w:val="24"/>
                <w:szCs w:val="22"/>
              </w:rPr>
              <w:t>. Th</w:t>
            </w:r>
            <w:r>
              <w:rPr>
                <w:sz w:val="24"/>
                <w:szCs w:val="22"/>
              </w:rPr>
              <w:t>is</w:t>
            </w:r>
            <w:r>
              <w:rPr>
                <w:sz w:val="24"/>
                <w:szCs w:val="22"/>
              </w:rPr>
              <w:t xml:space="preserve"> study aimed to evaluate the influence of </w:t>
            </w:r>
            <w:proofErr w:type="spellStart"/>
            <w:r>
              <w:rPr>
                <w:sz w:val="24"/>
                <w:szCs w:val="22"/>
              </w:rPr>
              <w:t>sufentanil</w:t>
            </w:r>
            <w:proofErr w:type="spellEnd"/>
            <w:r>
              <w:rPr>
                <w:sz w:val="24"/>
                <w:szCs w:val="22"/>
              </w:rPr>
              <w:t xml:space="preserve"> on procedure duration, total propofol </w:t>
            </w:r>
            <w:r>
              <w:rPr>
                <w:sz w:val="24"/>
                <w:szCs w:val="22"/>
              </w:rPr>
              <w:t>injected</w:t>
            </w:r>
            <w:r>
              <w:rPr>
                <w:sz w:val="24"/>
                <w:szCs w:val="22"/>
              </w:rPr>
              <w:t xml:space="preserve">, and the </w:t>
            </w:r>
            <w:r>
              <w:rPr>
                <w:sz w:val="24"/>
                <w:szCs w:val="22"/>
              </w:rPr>
              <w:t>patients</w:t>
            </w:r>
            <w:r>
              <w:rPr>
                <w:sz w:val="24"/>
                <w:szCs w:val="22"/>
              </w:rPr>
              <w:t xml:space="preserve">’ </w:t>
            </w:r>
            <w:r>
              <w:rPr>
                <w:sz w:val="24"/>
                <w:szCs w:val="22"/>
              </w:rPr>
              <w:t xml:space="preserve">respiratory and hemodynamic </w:t>
            </w:r>
            <w:r>
              <w:rPr>
                <w:sz w:val="24"/>
                <w:szCs w:val="22"/>
              </w:rPr>
              <w:t>parameters</w:t>
            </w:r>
            <w:r>
              <w:rPr>
                <w:sz w:val="24"/>
                <w:szCs w:val="22"/>
              </w:rPr>
              <w:t>.</w:t>
            </w:r>
          </w:p>
          <w:p w14:paraId="6555B177" w14:textId="77777777" w:rsidR="00871B59" w:rsidRDefault="00871B59">
            <w:pPr>
              <w:jc w:val="both"/>
              <w:rPr>
                <w:szCs w:val="22"/>
              </w:rPr>
            </w:pPr>
          </w:p>
          <w:p w14:paraId="23860211" w14:textId="77777777" w:rsidR="00871B59" w:rsidRDefault="00B0435B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Background:</w:t>
            </w:r>
          </w:p>
          <w:p w14:paraId="670A05DD" w14:textId="3F756B45" w:rsidR="00871B59" w:rsidRDefault="00B0435B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Colonoscopy and gastroscopy are routine procedures that a</w:t>
            </w:r>
            <w:r>
              <w:rPr>
                <w:sz w:val="24"/>
                <w:szCs w:val="22"/>
              </w:rPr>
              <w:t xml:space="preserve">re often performed under sedation or general anesthesia to improve patient and endoscopist comfort¹ and lesion detection rates². Target-controlled propofol infusion is commonly used for sedation, sometimes supplemented with </w:t>
            </w:r>
            <w:proofErr w:type="spellStart"/>
            <w:r w:rsidR="00847FBB">
              <w:rPr>
                <w:sz w:val="24"/>
                <w:szCs w:val="22"/>
              </w:rPr>
              <w:t>s</w:t>
            </w:r>
            <w:r>
              <w:rPr>
                <w:sz w:val="24"/>
                <w:szCs w:val="22"/>
              </w:rPr>
              <w:t>ufentanil</w:t>
            </w:r>
            <w:proofErr w:type="spellEnd"/>
            <w:r>
              <w:rPr>
                <w:sz w:val="24"/>
                <w:szCs w:val="22"/>
              </w:rPr>
              <w:t>.</w:t>
            </w:r>
          </w:p>
          <w:p w14:paraId="068FD843" w14:textId="77777777" w:rsidR="00871B59" w:rsidRDefault="00871B59">
            <w:pPr>
              <w:jc w:val="both"/>
              <w:rPr>
                <w:sz w:val="24"/>
                <w:szCs w:val="22"/>
              </w:rPr>
            </w:pPr>
          </w:p>
          <w:p w14:paraId="5768482C" w14:textId="77777777" w:rsidR="00871B59" w:rsidRDefault="00B0435B">
            <w:pPr>
              <w:pStyle w:val="Corps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Methods: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448D525C" w14:textId="16A11E25" w:rsidR="00871B59" w:rsidRDefault="00B0435B">
            <w:pPr>
              <w:pStyle w:val="Corps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nl-NL"/>
              </w:rPr>
              <w:t xml:space="preserve">A retrospective, monocentric propensity-matched cohort study was conducted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nl-NL"/>
              </w:rPr>
              <w:t>on patients undergoing colonoscopy with or without gastroscopy under sedation</w:t>
            </w:r>
            <w:r w:rsidR="00131B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nl-NL"/>
              </w:rPr>
              <w:t xml:space="preserve"> </w:t>
            </w:r>
            <w:r w:rsidR="00131B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nl-NL"/>
              </w:rPr>
              <w:t>between May 2018 and December 2020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nl-NL"/>
              </w:rPr>
              <w:t xml:space="preserve">. The study </w:t>
            </w:r>
            <w:r w:rsidR="009C0B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nl-NL"/>
              </w:rPr>
              <w:t>included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nl-NL"/>
              </w:rPr>
              <w:t xml:space="preserve"> patients who received propofol infusion with (SU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nl-NL"/>
              </w:rPr>
              <w:t>F group) or without (PRO group) adjunctive 5</w:t>
            </w:r>
            <w:r w:rsidR="00847F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nl-N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nl-NL"/>
              </w:rPr>
              <w:t xml:space="preserve">mcg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nl-NL"/>
              </w:rPr>
              <w:t>sufentanil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nl-NL"/>
              </w:rPr>
              <w:t xml:space="preserve">. </w:t>
            </w:r>
            <w:r w:rsidR="009C0B28" w:rsidRPr="009C0B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nl-NL"/>
              </w:rPr>
              <w:t>A cohort with matched baseline characteristics (age, BMI, ASA score, and associated gastroscopy) was created using 1:2 propensity score matching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nl-NL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nl-NL"/>
              </w:rPr>
              <w:t>Student's t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nl-NL"/>
              </w:rPr>
              <w:t xml:space="preserve"> </w:t>
            </w:r>
            <w:r w:rsidR="00195A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nl-NL"/>
              </w:rPr>
              <w:t xml:space="preserve">test </w:t>
            </w:r>
            <w:r w:rsidR="009C0B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nl-NL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nl-NL"/>
              </w:rPr>
              <w:t xml:space="preserve">Mann-Whitney U tests were used </w:t>
            </w:r>
            <w:r w:rsidR="009C0B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nl-NL"/>
              </w:rPr>
              <w:t>depending on the distribution of</w:t>
            </w:r>
            <w:bookmarkStart w:id="0" w:name="_GoBack"/>
            <w:bookmarkEnd w:id="0"/>
            <w:r w:rsidR="009C0B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nl-NL"/>
              </w:rPr>
              <w:t xml:space="preserve"> the</w:t>
            </w:r>
            <w:r w:rsidR="009C0B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nl-NL"/>
              </w:rPr>
              <w:t xml:space="preserve"> variables</w:t>
            </w:r>
            <w:r w:rsidR="009C0B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nl-NL"/>
              </w:rPr>
              <w:t>.</w:t>
            </w:r>
            <w:r w:rsidR="00847F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nl-N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nl-NL"/>
              </w:rPr>
              <w:t xml:space="preserve">This study was approved by the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nl-NL"/>
              </w:rPr>
              <w:t xml:space="preserve">ethics </w:t>
            </w:r>
            <w:r w:rsidR="009C0B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nl-NL"/>
              </w:rPr>
              <w:t xml:space="preserve">committee of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nl-NL"/>
              </w:rPr>
              <w:t>CHU U</w:t>
            </w:r>
            <w:r w:rsidR="009C0B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nl-NL"/>
              </w:rPr>
              <w:t>CL Namur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nl-N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nl-NL"/>
              </w:rPr>
              <w:t>ref. 125/2021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nl-NL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nl-NL"/>
              </w:rPr>
              <w:t> 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nl-NL"/>
              </w:rPr>
              <w:t>The manuscript adheres to the STROBE guidelines.</w:t>
            </w:r>
          </w:p>
          <w:p w14:paraId="7C9D72BA" w14:textId="77777777" w:rsidR="00871B59" w:rsidRDefault="00871B59">
            <w:pPr>
              <w:pStyle w:val="Corps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3F474B92" w14:textId="77777777" w:rsidR="00871B59" w:rsidRDefault="00B0435B">
            <w:pPr>
              <w:pStyle w:val="Corps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Results: </w:t>
            </w:r>
          </w:p>
          <w:p w14:paraId="659B7494" w14:textId="3B4DF29E" w:rsidR="00871B59" w:rsidRPr="00195A59" w:rsidRDefault="00B0435B">
            <w:pPr>
              <w:pStyle w:val="Corps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total of 5</w:t>
            </w:r>
            <w:r w:rsidR="00946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patients underwent </w:t>
            </w:r>
            <w:r w:rsidR="00131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colonoscopy</w:t>
            </w:r>
            <w:r w:rsidR="00946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either alone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in conjunction with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gastroscopy</w:t>
            </w:r>
            <w:r w:rsidR="00570633" w:rsidRPr="00570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131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There </w:t>
            </w:r>
            <w:r w:rsidR="00847F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were</w:t>
            </w:r>
            <w:r w:rsidR="00131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differences in age (SUF 58.4±</w:t>
            </w:r>
            <w:r w:rsidR="00410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5.1</w:t>
            </w:r>
            <w:r w:rsidR="00131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 59.1±14.9, p=0.408), BMI (SUF 30.6±5.1</w:t>
            </w:r>
            <w:r w:rsidR="00131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 30.5±5.4, p=0.434), or ASA score (SUF 233/140/17/0</w:t>
            </w:r>
            <w:r w:rsidR="00131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 468/276/36/0). No</w:t>
            </w:r>
            <w:r w:rsidR="00131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difference in procedure duration was found between 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SUF and PRO groups (</w:t>
            </w:r>
            <w:r w:rsidR="00570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SUF </w:t>
            </w:r>
            <w:r w:rsidR="00410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="00570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±</w:t>
            </w:r>
            <w:r w:rsidR="00410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131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570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 </w:t>
            </w:r>
            <w:r w:rsidR="00410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  <w:r w:rsidR="00570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±</w:t>
            </w:r>
            <w:r w:rsidR="00410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570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p=0.214).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the SUF group, the total propofol administered was significantly lower than in the PRO group (SUF </w:t>
            </w:r>
            <w:r w:rsidR="00EF7F23" w:rsidRPr="00195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439.7</w:t>
            </w:r>
            <w:r w:rsidRPr="00195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±19</w:t>
            </w:r>
            <w:r w:rsidRPr="00195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F7F23" w:rsidRPr="00195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.6</w:t>
            </w:r>
            <w:r w:rsidR="00131BCF" w:rsidRPr="00195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95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 48</w:t>
            </w:r>
            <w:r w:rsidR="00195A59" w:rsidRPr="00195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EF7F23" w:rsidRPr="00195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.6</w:t>
            </w:r>
            <w:r w:rsidRPr="00195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±24</w:t>
            </w:r>
            <w:r w:rsidR="00EF7F23" w:rsidRPr="00195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7.9</w:t>
            </w:r>
            <w:r w:rsidRPr="00195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p=0.033). Hemodynamic stability, measured by heart rate variability (</w:t>
            </w:r>
            <w:r w:rsidR="00195A59">
              <w:rPr>
                <w:rFonts w:ascii="Times New Roman" w:eastAsia="Menlo" w:hAnsi="Times New Roman" w:cs="Times New Roman"/>
                <w:color w:val="000000" w:themeColor="text1"/>
                <w:sz w:val="24"/>
                <w:szCs w:val="24"/>
                <w:lang w:val="en-GB"/>
              </w:rPr>
              <w:t>SUF</w:t>
            </w:r>
            <w:r w:rsidR="00195A59" w:rsidRPr="00195A59">
              <w:rPr>
                <w:rFonts w:ascii="Times New Roman" w:eastAsia="Menlo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27+/-12 </w:t>
            </w:r>
            <w:r w:rsidR="00195A59">
              <w:rPr>
                <w:rFonts w:ascii="Times New Roman" w:eastAsia="Menlo" w:hAnsi="Times New Roman" w:cs="Times New Roman"/>
                <w:color w:val="000000" w:themeColor="text1"/>
                <w:sz w:val="24"/>
                <w:szCs w:val="24"/>
                <w:lang w:val="en-GB"/>
              </w:rPr>
              <w:t>PRO</w:t>
            </w:r>
            <w:r w:rsidR="00195A59" w:rsidRPr="00195A59">
              <w:rPr>
                <w:rFonts w:ascii="Times New Roman" w:eastAsia="Menlo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27+/-13 p=0</w:t>
            </w:r>
            <w:r w:rsidR="00195A59" w:rsidRPr="00195A59">
              <w:rPr>
                <w:rFonts w:ascii="Times New Roman" w:eastAsia="Menlo" w:hAnsi="Times New Roman" w:cs="Times New Roman"/>
                <w:color w:val="000000" w:themeColor="text1"/>
                <w:sz w:val="24"/>
                <w:szCs w:val="24"/>
                <w:lang w:val="en-GB"/>
              </w:rPr>
              <w:t>.</w:t>
            </w:r>
            <w:r w:rsidR="00195A59" w:rsidRPr="00195A59">
              <w:rPr>
                <w:rFonts w:ascii="Times New Roman" w:eastAsia="Menlo" w:hAnsi="Times New Roman" w:cs="Times New Roman"/>
                <w:color w:val="000000" w:themeColor="text1"/>
                <w:sz w:val="24"/>
                <w:szCs w:val="24"/>
                <w:lang w:val="en-GB"/>
              </w:rPr>
              <w:t>505</w:t>
            </w:r>
            <w:r w:rsidRPr="00195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and mean arteria</w:t>
            </w:r>
            <w:r w:rsidRPr="00195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 pressure variability (</w:t>
            </w:r>
            <w:r w:rsidR="00195A59">
              <w:rPr>
                <w:rFonts w:ascii="Times New Roman" w:eastAsia="Menlo" w:hAnsi="Times New Roman" w:cs="Times New Roman"/>
                <w:color w:val="000000" w:themeColor="text1"/>
                <w:sz w:val="24"/>
                <w:szCs w:val="24"/>
                <w:lang w:val="en-GB"/>
              </w:rPr>
              <w:t>SUF</w:t>
            </w:r>
            <w:r w:rsidR="00195A59" w:rsidRPr="00195A59">
              <w:rPr>
                <w:rFonts w:ascii="Times New Roman" w:eastAsia="Menlo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31+/-</w:t>
            </w:r>
            <w:r w:rsidR="00195A59" w:rsidRPr="00195A59">
              <w:rPr>
                <w:rFonts w:ascii="Times New Roman" w:eastAsia="Menlo" w:hAnsi="Times New Roman" w:cs="Times New Roman"/>
                <w:color w:val="000000" w:themeColor="text1"/>
                <w:sz w:val="24"/>
                <w:szCs w:val="24"/>
                <w:lang w:val="en-GB"/>
              </w:rPr>
              <w:t>1</w:t>
            </w:r>
            <w:r w:rsidR="00195A59" w:rsidRPr="00195A59">
              <w:rPr>
                <w:rFonts w:ascii="Times New Roman" w:eastAsia="Menlo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7 </w:t>
            </w:r>
            <w:r w:rsidR="00195A59">
              <w:rPr>
                <w:rFonts w:ascii="Times New Roman" w:eastAsia="Menlo" w:hAnsi="Times New Roman" w:cs="Times New Roman"/>
                <w:color w:val="000000" w:themeColor="text1"/>
                <w:sz w:val="24"/>
                <w:szCs w:val="24"/>
                <w:lang w:val="en-GB"/>
              </w:rPr>
              <w:t>PRO</w:t>
            </w:r>
            <w:r w:rsidR="00195A59" w:rsidRPr="00195A59">
              <w:rPr>
                <w:rFonts w:ascii="Times New Roman" w:eastAsia="Menlo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32+/-19</w:t>
            </w:r>
            <w:r w:rsidR="00195A59" w:rsidRPr="00195A59">
              <w:rPr>
                <w:rFonts w:ascii="Times New Roman" w:eastAsia="Menlo" w:hAnsi="Times New Roman" w:cs="Times New Roman"/>
                <w:color w:val="000000" w:themeColor="text1"/>
                <w:sz w:val="24"/>
                <w:szCs w:val="24"/>
                <w:lang w:val="en-GB"/>
              </w:rPr>
              <w:t>,</w:t>
            </w:r>
            <w:r w:rsidR="00195A59" w:rsidRPr="00195A59">
              <w:rPr>
                <w:rFonts w:ascii="Times New Roman" w:eastAsia="Menlo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195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p=0.991), showed no </w:t>
            </w:r>
            <w:r w:rsidR="00195A59" w:rsidRPr="00195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95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ignificant differences</w:t>
            </w:r>
            <w:r w:rsidRPr="00195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There was no </w:t>
            </w:r>
            <w:r w:rsidRPr="00195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clinically </w:t>
            </w:r>
            <w:r w:rsidRPr="00195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significant difference in respiratory rate variability </w:t>
            </w:r>
            <w:r w:rsidRPr="00195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41008A" w:rsidRPr="00195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SUF </w:t>
            </w:r>
            <w:r w:rsidRPr="00195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195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±12</w:t>
            </w:r>
            <w:r w:rsidR="00131BCF" w:rsidRPr="00195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41008A" w:rsidRPr="00195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 </w:t>
            </w:r>
            <w:r w:rsidRPr="00195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95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8±10</w:t>
            </w:r>
            <w:r w:rsidR="0041008A" w:rsidRPr="00195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5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p=0.0343). </w:t>
            </w:r>
            <w:r w:rsidRPr="00195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There was no </w:t>
            </w:r>
            <w:r w:rsidRPr="00195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clin</w:t>
            </w:r>
            <w:r w:rsidRPr="00195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ically </w:t>
            </w:r>
            <w:r w:rsidRPr="00195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significant difference in mean SpO</w:t>
            </w:r>
            <w:r w:rsidRPr="00195A5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195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5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41008A" w:rsidRPr="00195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SUF </w:t>
            </w:r>
            <w:r w:rsidRPr="00195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98.8±1.3</w:t>
            </w:r>
            <w:r w:rsidR="00131BCF" w:rsidRPr="00195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41008A" w:rsidRPr="00195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 </w:t>
            </w:r>
            <w:r w:rsidRPr="00195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98.9±1.9, p=0.044), nor in SpO</w:t>
            </w:r>
            <w:r w:rsidRPr="00195A5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195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variability (SUF 4.3±5.3</w:t>
            </w:r>
            <w:r w:rsidR="00131BCF" w:rsidRPr="00195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95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 3.9±5.5, p=0.030).</w:t>
            </w:r>
          </w:p>
          <w:p w14:paraId="17D44B3A" w14:textId="77777777" w:rsidR="00871B59" w:rsidRDefault="00871B59">
            <w:pPr>
              <w:pStyle w:val="Corps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4656B468" w14:textId="77777777" w:rsidR="00871B59" w:rsidRDefault="00B0435B">
            <w:pPr>
              <w:pStyle w:val="Corps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Conclusions: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0753C670" w14:textId="056EC3B8" w:rsidR="00871B59" w:rsidRDefault="00B0435B">
            <w:pPr>
              <w:pStyle w:val="Corps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This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study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found a significant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decrease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propofol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consumption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SUF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group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compared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with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PRO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group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but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this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difference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may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have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limited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clinical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relevance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Furthermore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findings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suggest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no significant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differences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hemodynamic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respiratory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parameters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between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two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groups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The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addition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sufentanil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propofol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sedation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lower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445D77">
              <w:rPr>
                <w:rFonts w:ascii="Times New Roman" w:hAnsi="Times New Roman" w:cs="Times New Roman"/>
                <w:sz w:val="24"/>
              </w:rPr>
              <w:t>the</w:t>
            </w:r>
            <w:proofErr w:type="spellEnd"/>
            <w:r w:rsidR="00445D7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445D77">
              <w:rPr>
                <w:rFonts w:ascii="Times New Roman" w:hAnsi="Times New Roman" w:cs="Times New Roman"/>
                <w:sz w:val="24"/>
              </w:rPr>
              <w:t>injected</w:t>
            </w:r>
            <w:proofErr w:type="spellEnd"/>
            <w:r w:rsidR="00445D7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propofol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while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maintaining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patient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safety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terms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hemodynamic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respiratory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stability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281A4AF5" w14:textId="3E0E3062" w:rsidR="00871B59" w:rsidRDefault="00871B59">
            <w:pPr>
              <w:pStyle w:val="Corps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13BA7206" w14:textId="77777777" w:rsidR="00871B59" w:rsidRDefault="00B0435B">
            <w:pPr>
              <w:pStyle w:val="Corps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Declaration of interests: </w:t>
            </w:r>
          </w:p>
          <w:p w14:paraId="72B4FB8F" w14:textId="77777777" w:rsidR="00871B59" w:rsidRDefault="00B04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authors declare no conflict of interest.</w:t>
            </w:r>
          </w:p>
          <w:p w14:paraId="2423A3AC" w14:textId="77777777" w:rsidR="00871B59" w:rsidRDefault="00871B59">
            <w:pPr>
              <w:rPr>
                <w:sz w:val="24"/>
                <w:szCs w:val="24"/>
              </w:rPr>
            </w:pPr>
          </w:p>
          <w:p w14:paraId="064AC7BE" w14:textId="3179DE15" w:rsidR="00871B59" w:rsidRDefault="00B0435B">
            <w:pPr>
              <w:pStyle w:val="Corps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Funding:</w:t>
            </w:r>
          </w:p>
          <w:p w14:paraId="7DDD77B8" w14:textId="77777777" w:rsidR="00871B59" w:rsidRDefault="00B04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This work was not supported </w:t>
            </w:r>
            <w:r>
              <w:rPr>
                <w:sz w:val="24"/>
                <w:szCs w:val="24"/>
              </w:rPr>
              <w:t>by financial support</w:t>
            </w:r>
          </w:p>
          <w:p w14:paraId="3446DAC9" w14:textId="77777777" w:rsidR="00871B59" w:rsidRDefault="00871B59">
            <w:pPr>
              <w:rPr>
                <w:sz w:val="24"/>
                <w:szCs w:val="24"/>
              </w:rPr>
            </w:pPr>
          </w:p>
          <w:p w14:paraId="1D441E20" w14:textId="77777777" w:rsidR="00871B59" w:rsidRDefault="00B0435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References:</w:t>
            </w:r>
          </w:p>
          <w:p w14:paraId="59446194" w14:textId="0B3C9A1D" w:rsidR="00871B59" w:rsidRPr="00847FBB" w:rsidRDefault="00B04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Lee, C.K. et al. Balanced propofol sedation for therapeutic GI endoscopic procedures: a prospective, </w:t>
            </w:r>
            <w:r w:rsidRPr="00847FBB">
              <w:rPr>
                <w:sz w:val="24"/>
                <w:szCs w:val="24"/>
              </w:rPr>
              <w:t xml:space="preserve">randomized study.  </w:t>
            </w:r>
            <w:proofErr w:type="spellStart"/>
            <w:r w:rsidRPr="00847FBB">
              <w:rPr>
                <w:i/>
                <w:sz w:val="24"/>
                <w:szCs w:val="24"/>
              </w:rPr>
              <w:t>Gastrointest</w:t>
            </w:r>
            <w:proofErr w:type="spellEnd"/>
            <w:r w:rsidRPr="00847FBB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847FBB">
              <w:rPr>
                <w:i/>
                <w:sz w:val="24"/>
                <w:szCs w:val="24"/>
              </w:rPr>
              <w:t>Endosc</w:t>
            </w:r>
            <w:proofErr w:type="spellEnd"/>
            <w:r w:rsidRPr="00847FBB">
              <w:rPr>
                <w:i/>
                <w:sz w:val="24"/>
                <w:szCs w:val="24"/>
              </w:rPr>
              <w:t>.</w:t>
            </w:r>
            <w:r w:rsidRPr="00847FBB">
              <w:rPr>
                <w:sz w:val="24"/>
                <w:szCs w:val="24"/>
              </w:rPr>
              <w:t xml:space="preserve"> </w:t>
            </w:r>
            <w:r w:rsidRPr="00847FBB">
              <w:rPr>
                <w:sz w:val="24"/>
                <w:szCs w:val="24"/>
              </w:rPr>
              <w:t>73(2)</w:t>
            </w:r>
            <w:r w:rsidRPr="00847FBB">
              <w:rPr>
                <w:sz w:val="24"/>
                <w:szCs w:val="24"/>
              </w:rPr>
              <w:t>, 206-214 (2011).</w:t>
            </w:r>
          </w:p>
          <w:p w14:paraId="620AE75D" w14:textId="2EF10A73" w:rsidR="00871B59" w:rsidRPr="00847FBB" w:rsidRDefault="00B0435B" w:rsidP="00847FBB">
            <w:pPr>
              <w:rPr>
                <w:sz w:val="24"/>
                <w:szCs w:val="24"/>
              </w:rPr>
            </w:pPr>
            <w:r w:rsidRPr="00847FBB">
              <w:rPr>
                <w:sz w:val="24"/>
                <w:szCs w:val="24"/>
              </w:rPr>
              <w:t>2. Zhou, J. et al. Influence of Sedation on the Detec</w:t>
            </w:r>
            <w:r w:rsidRPr="00847FBB">
              <w:rPr>
                <w:sz w:val="24"/>
                <w:szCs w:val="24"/>
              </w:rPr>
              <w:t xml:space="preserve">tion Rate of Early Cancer and Precancerous Lesions During Diagnostic Upper Gastrointestinal Endoscopies: A Multicenter Retrospective Study. </w:t>
            </w:r>
            <w:r w:rsidRPr="00847FBB">
              <w:rPr>
                <w:i/>
                <w:sz w:val="24"/>
                <w:szCs w:val="24"/>
              </w:rPr>
              <w:t>Am. J. Gastroenterol.</w:t>
            </w:r>
            <w:r w:rsidRPr="00847FBB">
              <w:rPr>
                <w:sz w:val="24"/>
                <w:szCs w:val="24"/>
              </w:rPr>
              <w:t xml:space="preserve"> </w:t>
            </w:r>
            <w:r w:rsidRPr="00847FBB">
              <w:rPr>
                <w:sz w:val="24"/>
                <w:szCs w:val="24"/>
              </w:rPr>
              <w:t xml:space="preserve">116(6), </w:t>
            </w:r>
            <w:r w:rsidRPr="00847FBB">
              <w:rPr>
                <w:sz w:val="24"/>
                <w:szCs w:val="24"/>
              </w:rPr>
              <w:t>1230-1237 (2021).</w:t>
            </w:r>
          </w:p>
        </w:tc>
      </w:tr>
    </w:tbl>
    <w:p w14:paraId="4E6E48AF" w14:textId="77777777" w:rsidR="00871B59" w:rsidRDefault="00871B59">
      <w:pPr>
        <w:rPr>
          <w:color w:val="00CCFF"/>
          <w:sz w:val="24"/>
        </w:rPr>
      </w:pPr>
    </w:p>
    <w:sectPr w:rsidR="00871B59">
      <w:footerReference w:type="default" r:id="rId7"/>
      <w:pgSz w:w="11906" w:h="16838"/>
      <w:pgMar w:top="597" w:right="849" w:bottom="1134" w:left="1418" w:header="0" w:footer="709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89730" w14:textId="77777777" w:rsidR="00000000" w:rsidRDefault="00B0435B">
      <w:r>
        <w:separator/>
      </w:r>
    </w:p>
  </w:endnote>
  <w:endnote w:type="continuationSeparator" w:id="0">
    <w:p w14:paraId="7A77206E" w14:textId="77777777" w:rsidR="00000000" w:rsidRDefault="00B0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nl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9C562" w14:textId="77777777" w:rsidR="00871B59" w:rsidRDefault="00B0435B">
    <w:pPr>
      <w:pStyle w:val="Pieddepage"/>
      <w:ind w:left="-567"/>
      <w:rPr>
        <w:color w:val="FF0000"/>
      </w:rPr>
    </w:pPr>
    <w:r>
      <w:rPr>
        <w:color w:val="FF0000"/>
        <w:szCs w:val="22"/>
      </w:rPr>
      <w:t>By submitting this abstract, the first author certifies that all authors agree on its content and on its submission.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4AC3D" w14:textId="77777777" w:rsidR="00000000" w:rsidRDefault="00B0435B">
      <w:r>
        <w:separator/>
      </w:r>
    </w:p>
  </w:footnote>
  <w:footnote w:type="continuationSeparator" w:id="0">
    <w:p w14:paraId="64257EF1" w14:textId="77777777" w:rsidR="00000000" w:rsidRDefault="00B04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B59"/>
    <w:rsid w:val="00131BCF"/>
    <w:rsid w:val="00195A59"/>
    <w:rsid w:val="001F1561"/>
    <w:rsid w:val="002F3F9C"/>
    <w:rsid w:val="003662F8"/>
    <w:rsid w:val="0041008A"/>
    <w:rsid w:val="00445D77"/>
    <w:rsid w:val="004548E2"/>
    <w:rsid w:val="00516CAC"/>
    <w:rsid w:val="00570633"/>
    <w:rsid w:val="00847FBB"/>
    <w:rsid w:val="00871B59"/>
    <w:rsid w:val="0094626C"/>
    <w:rsid w:val="009C0B28"/>
    <w:rsid w:val="009E6E88"/>
    <w:rsid w:val="00B0435B"/>
    <w:rsid w:val="00B37F27"/>
    <w:rsid w:val="00CB3BE5"/>
    <w:rsid w:val="00D254A7"/>
    <w:rsid w:val="00E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508A2"/>
  <w15:docId w15:val="{07119896-357A-4800-9E0E-970D8DC7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lang w:val="en-US"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link w:val="Textedebulles"/>
    <w:uiPriority w:val="99"/>
    <w:semiHidden/>
    <w:qFormat/>
    <w:rsid w:val="00696B2D"/>
    <w:rPr>
      <w:rFonts w:ascii="Tahoma" w:hAnsi="Tahoma" w:cs="Tahoma"/>
      <w:sz w:val="16"/>
      <w:szCs w:val="16"/>
      <w:lang w:val="en-US" w:eastAsia="nl-NL"/>
    </w:rPr>
  </w:style>
  <w:style w:type="character" w:customStyle="1" w:styleId="En-tteCar">
    <w:name w:val="En-tête Car"/>
    <w:link w:val="En-tte"/>
    <w:uiPriority w:val="99"/>
    <w:qFormat/>
    <w:rsid w:val="00E86EB8"/>
    <w:rPr>
      <w:sz w:val="22"/>
      <w:lang w:val="en-US" w:eastAsia="nl-NL"/>
    </w:rPr>
  </w:style>
  <w:style w:type="character" w:customStyle="1" w:styleId="PieddepageCar">
    <w:name w:val="Pied de page Car"/>
    <w:link w:val="Pieddepage"/>
    <w:uiPriority w:val="99"/>
    <w:qFormat/>
    <w:rsid w:val="00E86EB8"/>
    <w:rPr>
      <w:sz w:val="22"/>
      <w:lang w:val="en-US" w:eastAsia="nl-NL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916277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916277"/>
    <w:rPr>
      <w:lang w:val="en-US" w:eastAsia="nl-NL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916277"/>
    <w:rPr>
      <w:b/>
      <w:bCs/>
      <w:lang w:val="en-US" w:eastAsia="nl-NL"/>
    </w:rPr>
  </w:style>
  <w:style w:type="character" w:styleId="Numrodeligne">
    <w:name w:val="line number"/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sdetexte">
    <w:name w:val="Body Text"/>
    <w:basedOn w:val="Normal"/>
    <w:semiHidden/>
    <w:rPr>
      <w:b/>
      <w:bCs/>
    </w:rPr>
  </w:style>
  <w:style w:type="paragraph" w:styleId="Liste">
    <w:name w:val="List"/>
    <w:basedOn w:val="Corpsdetexte"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Explorateurdedocuments">
    <w:name w:val="Document Map"/>
    <w:basedOn w:val="Normal"/>
    <w:semiHidden/>
    <w:qFormat/>
    <w:pPr>
      <w:shd w:val="clear" w:color="auto" w:fill="000080"/>
    </w:pPr>
    <w:rPr>
      <w:rFonts w:ascii="Tahoma" w:hAnsi="Tahoma" w:cs="Tahoma"/>
    </w:rPr>
  </w:style>
  <w:style w:type="paragraph" w:customStyle="1" w:styleId="Normal1">
    <w:name w:val="Normal1"/>
    <w:basedOn w:val="Normal"/>
    <w:qFormat/>
    <w:rsid w:val="000D7FA8"/>
    <w:pPr>
      <w:widowControl w:val="0"/>
    </w:pPr>
    <w:rPr>
      <w:rFonts w:ascii="Arial" w:eastAsia="Arial" w:hAnsi="Arial" w:cs="Arial"/>
      <w:color w:val="000000"/>
      <w:kern w:val="2"/>
      <w:sz w:val="24"/>
      <w:szCs w:val="24"/>
      <w:lang w:val="fr-BE" w:eastAsia="zh-CN" w:bidi="hi-IN"/>
    </w:rPr>
  </w:style>
  <w:style w:type="paragraph" w:customStyle="1" w:styleId="Corps">
    <w:name w:val="Corps"/>
    <w:qFormat/>
    <w:rsid w:val="00E70DDB"/>
    <w:rPr>
      <w:rFonts w:ascii="Helvetica" w:eastAsia="Arial Unicode MS" w:hAnsi="Helvetica" w:cs="Arial Unicode MS"/>
      <w:color w:val="000000"/>
      <w:sz w:val="22"/>
      <w:szCs w:val="22"/>
      <w:lang w:val="nl-NL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696B2D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En-tte">
    <w:name w:val="header"/>
    <w:basedOn w:val="Normal"/>
    <w:link w:val="En-tteCar"/>
    <w:uiPriority w:val="99"/>
    <w:unhideWhenUsed/>
    <w:rsid w:val="00E86EB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E86EB8"/>
    <w:pPr>
      <w:tabs>
        <w:tab w:val="center" w:pos="4536"/>
        <w:tab w:val="right" w:pos="9072"/>
      </w:tabs>
    </w:p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916277"/>
    <w:rPr>
      <w:sz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sid w:val="00916277"/>
    <w:rPr>
      <w:b/>
      <w:bCs/>
    </w:rPr>
  </w:style>
  <w:style w:type="table" w:styleId="Grilledutableau">
    <w:name w:val="Table Grid"/>
    <w:basedOn w:val="TableauNormal"/>
    <w:uiPriority w:val="59"/>
    <w:rsid w:val="00E70DD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CFE9B-67CE-4254-A7F6-D6B6A6A1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597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Abstract (in English)</vt:lpstr>
    </vt:vector>
  </TitlesOfParts>
  <Company>UZLEUVEN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(in English)</dc:title>
  <dc:subject/>
  <dc:creator>x114833</dc:creator>
  <dc:description/>
  <cp:lastModifiedBy>MASERI Adrien</cp:lastModifiedBy>
  <cp:revision>27</cp:revision>
  <cp:lastPrinted>2019-02-12T09:49:00Z</cp:lastPrinted>
  <dcterms:created xsi:type="dcterms:W3CDTF">2023-09-26T12:52:00Z</dcterms:created>
  <dcterms:modified xsi:type="dcterms:W3CDTF">2024-03-27T15:21:00Z</dcterms:modified>
  <dc:language>en-US</dc:language>
</cp:coreProperties>
</file>