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09D65A28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</w:t>
      </w:r>
      <w:proofErr w:type="gramStart"/>
      <w:r w:rsidR="00696B2D" w:rsidRPr="00DB4901">
        <w:rPr>
          <w:i/>
          <w:color w:val="FF0000"/>
          <w:sz w:val="24"/>
        </w:rPr>
        <w:t>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</w:t>
      </w:r>
      <w:proofErr w:type="gramEnd"/>
      <w:r w:rsidR="00E86EB8">
        <w:rPr>
          <w:i/>
          <w:color w:val="FF0000"/>
          <w:sz w:val="24"/>
        </w:rPr>
        <w:t xml:space="preserve">     </w:t>
      </w:r>
      <w:r w:rsidR="00E86EB8">
        <w:rPr>
          <w:color w:val="00CCFF"/>
          <w:sz w:val="24"/>
        </w:rPr>
        <w:t xml:space="preserve">Deadline for receipt: </w:t>
      </w:r>
      <w:r w:rsidR="006A4731">
        <w:rPr>
          <w:color w:val="00CCFF"/>
          <w:sz w:val="24"/>
        </w:rPr>
        <w:t>March 31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37573F">
        <w:rPr>
          <w:color w:val="00CCFF"/>
          <w:sz w:val="24"/>
        </w:rPr>
        <w:t>4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25982201" w14:textId="1D2CD5E1" w:rsidR="001B3036" w:rsidRDefault="000202C7" w:rsidP="00B846A4">
            <w:pPr>
              <w:rPr>
                <w:sz w:val="24"/>
                <w:szCs w:val="24"/>
              </w:rPr>
            </w:pPr>
            <w:r>
              <w:rPr>
                <w:color w:val="00CCFF"/>
                <w:sz w:val="24"/>
              </w:rPr>
              <w:t>Title:</w:t>
            </w:r>
            <w:r w:rsidRPr="00112E04">
              <w:rPr>
                <w:sz w:val="20"/>
              </w:rPr>
              <w:t xml:space="preserve"> </w:t>
            </w:r>
            <w:r w:rsidR="00B846A4" w:rsidRPr="003625C5">
              <w:rPr>
                <w:sz w:val="24"/>
                <w:szCs w:val="24"/>
              </w:rPr>
              <w:t xml:space="preserve">Comparison between periarticular infiltration, pericapsular nerve group and </w:t>
            </w:r>
            <w:proofErr w:type="spellStart"/>
            <w:r w:rsidR="00B846A4" w:rsidRPr="003625C5">
              <w:rPr>
                <w:sz w:val="24"/>
                <w:szCs w:val="24"/>
              </w:rPr>
              <w:t>suprainguinal</w:t>
            </w:r>
            <w:proofErr w:type="spellEnd"/>
            <w:r w:rsidR="00B846A4" w:rsidRPr="003625C5">
              <w:rPr>
                <w:sz w:val="24"/>
                <w:szCs w:val="24"/>
              </w:rPr>
              <w:t xml:space="preserve"> fascia </w:t>
            </w:r>
            <w:proofErr w:type="spellStart"/>
            <w:r w:rsidR="00B846A4">
              <w:rPr>
                <w:sz w:val="24"/>
                <w:szCs w:val="24"/>
              </w:rPr>
              <w:t>iliaca</w:t>
            </w:r>
            <w:proofErr w:type="spellEnd"/>
            <w:r w:rsidR="00B846A4">
              <w:rPr>
                <w:sz w:val="24"/>
                <w:szCs w:val="24"/>
              </w:rPr>
              <w:t xml:space="preserve"> </w:t>
            </w:r>
            <w:r w:rsidR="00B846A4" w:rsidRPr="003625C5">
              <w:rPr>
                <w:sz w:val="24"/>
                <w:szCs w:val="24"/>
              </w:rPr>
              <w:t>block</w:t>
            </w:r>
            <w:r w:rsidR="00B846A4">
              <w:rPr>
                <w:sz w:val="24"/>
                <w:szCs w:val="24"/>
              </w:rPr>
              <w:t>s</w:t>
            </w:r>
            <w:r w:rsidR="00B846A4" w:rsidRPr="003625C5">
              <w:rPr>
                <w:sz w:val="24"/>
                <w:szCs w:val="24"/>
              </w:rPr>
              <w:t xml:space="preserve"> on postoperative </w:t>
            </w:r>
            <w:r w:rsidR="00574CAB">
              <w:rPr>
                <w:sz w:val="24"/>
                <w:szCs w:val="24"/>
              </w:rPr>
              <w:t>pain trajectory</w:t>
            </w:r>
            <w:r w:rsidR="00B846A4" w:rsidRPr="003625C5">
              <w:rPr>
                <w:sz w:val="24"/>
                <w:szCs w:val="24"/>
              </w:rPr>
              <w:t xml:space="preserve"> in hip arthroplasty: </w:t>
            </w:r>
            <w:r w:rsidR="00B846A4">
              <w:rPr>
                <w:sz w:val="24"/>
                <w:szCs w:val="24"/>
              </w:rPr>
              <w:t xml:space="preserve">preliminary results from </w:t>
            </w:r>
            <w:r w:rsidR="00B846A4" w:rsidRPr="003625C5">
              <w:rPr>
                <w:sz w:val="24"/>
                <w:szCs w:val="24"/>
              </w:rPr>
              <w:t>a randomized clinical study</w:t>
            </w:r>
            <w:r w:rsidR="00B846A4" w:rsidRPr="0098333A">
              <w:rPr>
                <w:sz w:val="24"/>
                <w:szCs w:val="24"/>
              </w:rPr>
              <w:t>.</w:t>
            </w:r>
          </w:p>
          <w:p w14:paraId="175067F5" w14:textId="6DF02C1B" w:rsidR="00143AFC" w:rsidRPr="00143AFC" w:rsidRDefault="001B3036" w:rsidP="00143AFC">
            <w:pPr>
              <w:rPr>
                <w:sz w:val="24"/>
                <w:szCs w:val="24"/>
              </w:rPr>
            </w:pPr>
            <w:r w:rsidRPr="00AA1BD0">
              <w:rPr>
                <w:color w:val="00CCFF"/>
                <w:sz w:val="24"/>
                <w:szCs w:val="24"/>
              </w:rPr>
              <w:t>Author(s):</w:t>
            </w:r>
            <w:r w:rsidR="00B846A4">
              <w:rPr>
                <w:color w:val="00CCFF"/>
                <w:sz w:val="24"/>
                <w:szCs w:val="24"/>
              </w:rPr>
              <w:t xml:space="preserve"> </w:t>
            </w:r>
            <w:r w:rsidR="00574CAB">
              <w:rPr>
                <w:color w:val="000000" w:themeColor="text1"/>
                <w:sz w:val="24"/>
                <w:szCs w:val="24"/>
              </w:rPr>
              <w:t>C Noirfalisse</w:t>
            </w:r>
            <w:r w:rsidR="00143AFC" w:rsidRPr="00143AFC">
              <w:rPr>
                <w:sz w:val="24"/>
                <w:szCs w:val="24"/>
              </w:rPr>
              <w:t xml:space="preserve">, MD </w:t>
            </w:r>
            <w:r w:rsidR="00143AFC" w:rsidRPr="00143AFC">
              <w:rPr>
                <w:sz w:val="24"/>
                <w:szCs w:val="24"/>
                <w:vertAlign w:val="superscript"/>
              </w:rPr>
              <w:t>1</w:t>
            </w:r>
            <w:r w:rsidR="00143AFC">
              <w:rPr>
                <w:sz w:val="24"/>
                <w:szCs w:val="24"/>
              </w:rPr>
              <w:t xml:space="preserve">, </w:t>
            </w:r>
            <w:r w:rsidR="0084753F" w:rsidRPr="00143AFC">
              <w:rPr>
                <w:sz w:val="24"/>
                <w:szCs w:val="24"/>
              </w:rPr>
              <w:t>M Carella, MD</w:t>
            </w:r>
            <w:r w:rsidR="00574CAB">
              <w:rPr>
                <w:sz w:val="24"/>
                <w:szCs w:val="24"/>
              </w:rPr>
              <w:t xml:space="preserve">, PhD </w:t>
            </w:r>
            <w:r w:rsidR="0084753F" w:rsidRPr="00143AFC">
              <w:rPr>
                <w:sz w:val="24"/>
                <w:szCs w:val="24"/>
                <w:vertAlign w:val="superscript"/>
              </w:rPr>
              <w:t>1,2</w:t>
            </w:r>
            <w:r w:rsidR="0084753F" w:rsidRPr="00143AFC">
              <w:rPr>
                <w:sz w:val="24"/>
                <w:szCs w:val="24"/>
              </w:rPr>
              <w:t xml:space="preserve">, </w:t>
            </w:r>
            <w:r w:rsidR="00143AFC" w:rsidRPr="00143AFC">
              <w:rPr>
                <w:sz w:val="24"/>
                <w:szCs w:val="24"/>
              </w:rPr>
              <w:t xml:space="preserve">F Beck, MD </w:t>
            </w:r>
            <w:r w:rsidR="00143AFC" w:rsidRPr="00143AFC">
              <w:rPr>
                <w:sz w:val="24"/>
                <w:szCs w:val="24"/>
                <w:vertAlign w:val="superscript"/>
              </w:rPr>
              <w:t>1,3</w:t>
            </w:r>
            <w:r w:rsidR="00143AFC" w:rsidRPr="00143AFC">
              <w:rPr>
                <w:sz w:val="24"/>
                <w:szCs w:val="24"/>
              </w:rPr>
              <w:t xml:space="preserve">, </w:t>
            </w:r>
            <w:r w:rsidR="00EA41D8">
              <w:rPr>
                <w:sz w:val="24"/>
                <w:szCs w:val="24"/>
              </w:rPr>
              <w:t>N</w:t>
            </w:r>
            <w:r w:rsidR="00EA41D8" w:rsidRPr="00143AFC">
              <w:rPr>
                <w:sz w:val="24"/>
                <w:szCs w:val="24"/>
              </w:rPr>
              <w:t xml:space="preserve"> Piette, MD </w:t>
            </w:r>
            <w:r w:rsidR="00EA41D8" w:rsidRPr="00143AFC">
              <w:rPr>
                <w:sz w:val="24"/>
                <w:szCs w:val="24"/>
                <w:vertAlign w:val="superscript"/>
              </w:rPr>
              <w:t>1,2</w:t>
            </w:r>
            <w:r w:rsidR="00EA41D8" w:rsidRPr="00143AFC">
              <w:rPr>
                <w:sz w:val="24"/>
                <w:szCs w:val="24"/>
              </w:rPr>
              <w:t xml:space="preserve">, </w:t>
            </w:r>
            <w:r w:rsidR="00EA41D8">
              <w:rPr>
                <w:sz w:val="24"/>
                <w:szCs w:val="24"/>
              </w:rPr>
              <w:t xml:space="preserve">JP Lecoq, </w:t>
            </w:r>
            <w:r w:rsidR="00EA41D8" w:rsidRPr="00143AFC">
              <w:rPr>
                <w:sz w:val="24"/>
                <w:szCs w:val="24"/>
              </w:rPr>
              <w:t>MD, PhD</w:t>
            </w:r>
            <w:r w:rsidR="00EA41D8">
              <w:rPr>
                <w:sz w:val="24"/>
                <w:szCs w:val="24"/>
              </w:rPr>
              <w:t xml:space="preserve"> </w:t>
            </w:r>
            <w:r w:rsidR="00EA41D8" w:rsidRPr="00143AFC">
              <w:rPr>
                <w:sz w:val="24"/>
                <w:szCs w:val="24"/>
                <w:vertAlign w:val="superscript"/>
              </w:rPr>
              <w:t>1,2</w:t>
            </w:r>
            <w:r w:rsidR="00EA41D8">
              <w:rPr>
                <w:sz w:val="24"/>
                <w:szCs w:val="24"/>
              </w:rPr>
              <w:t xml:space="preserve">, </w:t>
            </w:r>
            <w:r w:rsidR="00143AFC" w:rsidRPr="00143AFC">
              <w:rPr>
                <w:sz w:val="24"/>
                <w:szCs w:val="24"/>
              </w:rPr>
              <w:t xml:space="preserve">V Bonhomme, MD, PhD </w:t>
            </w:r>
            <w:r w:rsidR="00143AFC" w:rsidRPr="00143AFC">
              <w:rPr>
                <w:sz w:val="24"/>
                <w:szCs w:val="24"/>
                <w:vertAlign w:val="superscript"/>
              </w:rPr>
              <w:t>1,3</w:t>
            </w:r>
            <w:r w:rsidR="00143AFC" w:rsidRPr="00143AFC">
              <w:rPr>
                <w:sz w:val="24"/>
                <w:szCs w:val="24"/>
              </w:rPr>
              <w:t>.</w:t>
            </w:r>
          </w:p>
          <w:p w14:paraId="02B0E1B2" w14:textId="77777777" w:rsidR="00143AFC" w:rsidRPr="00143AFC" w:rsidRDefault="00143AFC" w:rsidP="00143AFC">
            <w:pPr>
              <w:rPr>
                <w:bCs/>
                <w:color w:val="00CCFF"/>
                <w:sz w:val="24"/>
                <w:szCs w:val="24"/>
              </w:rPr>
            </w:pPr>
            <w:r w:rsidRPr="00143AFC">
              <w:rPr>
                <w:bCs/>
                <w:color w:val="00CCFF"/>
                <w:sz w:val="24"/>
                <w:szCs w:val="24"/>
              </w:rPr>
              <w:t>Affiliation of author and co-authors:</w:t>
            </w:r>
          </w:p>
          <w:p w14:paraId="6F2045F3" w14:textId="39F80085" w:rsidR="00143AFC" w:rsidRPr="00143AFC" w:rsidRDefault="00CA2E8A" w:rsidP="00CA2E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1 </w:t>
            </w:r>
            <w:r w:rsidR="00143AFC" w:rsidRPr="00143AFC">
              <w:rPr>
                <w:bCs/>
                <w:sz w:val="24"/>
                <w:szCs w:val="24"/>
              </w:rPr>
              <w:t>Department of Anesthesia and Intensive Care Medicine, Liege University Hospital, Liege, Belgium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  <w:vertAlign w:val="superscript"/>
              </w:rPr>
              <w:t xml:space="preserve">2 </w:t>
            </w:r>
            <w:r w:rsidR="00143AFC" w:rsidRPr="00143AFC">
              <w:rPr>
                <w:bCs/>
                <w:sz w:val="24"/>
                <w:szCs w:val="24"/>
              </w:rPr>
              <w:t>Inflammation and Enhanced Rehabilitation Laboratory (Regional Anesthesia and Analgesia), GIGA-I3 Thematic Unit, GIGA-Research, Liege University, Liege, Belgium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43AFC" w:rsidRPr="00143AFC">
              <w:rPr>
                <w:bCs/>
                <w:sz w:val="24"/>
                <w:szCs w:val="24"/>
              </w:rPr>
              <w:t>Anesthesia and Perioperative Neuroscience Laboratory, GIGA-Consciousness Thematic Unit, GIGA-Research, Liege University, Liege, Belgium</w:t>
            </w:r>
          </w:p>
          <w:p w14:paraId="037692DC" w14:textId="3151DBB3" w:rsidR="001B3036" w:rsidRPr="0049058F" w:rsidRDefault="001B3036" w:rsidP="00AA1BD0">
            <w:pPr>
              <w:pStyle w:val="Normal1"/>
              <w:rPr>
                <w:rFonts w:ascii="Times" w:eastAsia="Calibri" w:hAnsi="Times" w:cs="Calibri"/>
                <w:i/>
                <w:lang w:val="en-US"/>
              </w:rPr>
            </w:pPr>
            <w:r w:rsidRPr="00AA1BD0">
              <w:rPr>
                <w:rFonts w:ascii="Times New Roman" w:hAnsi="Times New Roman" w:cs="Times New Roman"/>
                <w:color w:val="00CCFF"/>
                <w:lang w:val="en-US"/>
              </w:rPr>
              <w:t>Hospital/Institute:</w:t>
            </w:r>
            <w:r w:rsidRPr="00AA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1BD0" w:rsidRPr="00AA1BD0">
              <w:rPr>
                <w:rFonts w:ascii="Times New Roman" w:hAnsi="Times New Roman" w:cs="Times New Roman"/>
                <w:lang w:val="en-US"/>
              </w:rPr>
              <w:t>Department of Anesthesia</w:t>
            </w:r>
            <w:r w:rsidR="00AA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C12">
              <w:rPr>
                <w:rFonts w:ascii="Times New Roman" w:hAnsi="Times New Roman" w:cs="Times New Roman"/>
                <w:lang w:val="en-US"/>
              </w:rPr>
              <w:t>and Intensive Care Medicine, Li</w:t>
            </w:r>
            <w:r w:rsidR="005E1095">
              <w:rPr>
                <w:rFonts w:ascii="Times New Roman" w:hAnsi="Times New Roman" w:cs="Times New Roman"/>
                <w:lang w:val="en-US"/>
              </w:rPr>
              <w:t>e</w:t>
            </w:r>
            <w:r w:rsidR="00AA1BD0">
              <w:rPr>
                <w:rFonts w:ascii="Times New Roman" w:hAnsi="Times New Roman" w:cs="Times New Roman"/>
                <w:lang w:val="en-US"/>
              </w:rPr>
              <w:t>ge University Hospital</w:t>
            </w:r>
            <w:r w:rsidR="00BF3C12">
              <w:rPr>
                <w:rFonts w:ascii="Times New Roman" w:hAnsi="Times New Roman" w:cs="Times New Roman"/>
                <w:lang w:val="en-US"/>
              </w:rPr>
              <w:t>, Li</w:t>
            </w:r>
            <w:r w:rsidR="005E1095">
              <w:rPr>
                <w:rFonts w:ascii="Times New Roman" w:hAnsi="Times New Roman" w:cs="Times New Roman"/>
                <w:lang w:val="en-US"/>
              </w:rPr>
              <w:t>e</w:t>
            </w:r>
            <w:r w:rsidR="00DA4503">
              <w:rPr>
                <w:rFonts w:ascii="Times New Roman" w:hAnsi="Times New Roman" w:cs="Times New Roman"/>
                <w:lang w:val="en-US"/>
              </w:rPr>
              <w:t>ge, Belgium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4C88DD9F" w14:textId="03733812" w:rsidR="00FF6C8A" w:rsidRDefault="001B3036" w:rsidP="001B3036">
            <w:pPr>
              <w:jc w:val="both"/>
              <w:rPr>
                <w:bCs/>
                <w:sz w:val="24"/>
                <w:szCs w:val="24"/>
              </w:rPr>
            </w:pPr>
            <w:r w:rsidRPr="00DE76A3">
              <w:rPr>
                <w:b/>
                <w:sz w:val="24"/>
                <w:szCs w:val="24"/>
              </w:rPr>
              <w:lastRenderedPageBreak/>
              <w:t>Objective:</w:t>
            </w:r>
            <w:r w:rsidRPr="00DE76A3">
              <w:rPr>
                <w:sz w:val="24"/>
                <w:szCs w:val="24"/>
              </w:rPr>
              <w:t xml:space="preserve"> </w:t>
            </w:r>
            <w:r w:rsidR="00486F01">
              <w:rPr>
                <w:bCs/>
                <w:sz w:val="24"/>
                <w:szCs w:val="24"/>
              </w:rPr>
              <w:t xml:space="preserve"> </w:t>
            </w:r>
            <w:r w:rsidR="00574CAB" w:rsidRPr="00574CAB">
              <w:rPr>
                <w:bCs/>
                <w:sz w:val="24"/>
                <w:szCs w:val="24"/>
              </w:rPr>
              <w:t>To compare the efficacy of supra-inguinal fascia iliaca block (SFIB)</w:t>
            </w:r>
            <w:r w:rsidR="00486F01">
              <w:rPr>
                <w:bCs/>
                <w:sz w:val="24"/>
                <w:szCs w:val="24"/>
              </w:rPr>
              <w:t xml:space="preserve">, </w:t>
            </w:r>
            <w:r w:rsidR="00574CAB" w:rsidRPr="00574CAB">
              <w:rPr>
                <w:bCs/>
                <w:sz w:val="24"/>
                <w:szCs w:val="24"/>
              </w:rPr>
              <w:t>pericapsular nerve group block (PENG)</w:t>
            </w:r>
            <w:r w:rsidR="00486F01">
              <w:rPr>
                <w:bCs/>
                <w:sz w:val="24"/>
                <w:szCs w:val="24"/>
              </w:rPr>
              <w:t>,</w:t>
            </w:r>
            <w:r w:rsidR="00574CAB" w:rsidRPr="00574CAB">
              <w:rPr>
                <w:bCs/>
                <w:sz w:val="24"/>
                <w:szCs w:val="24"/>
              </w:rPr>
              <w:t xml:space="preserve"> and periarticular surgical infiltration (PAI) </w:t>
            </w:r>
            <w:r w:rsidR="00486F01">
              <w:rPr>
                <w:bCs/>
                <w:sz w:val="24"/>
                <w:szCs w:val="24"/>
              </w:rPr>
              <w:t xml:space="preserve">at controlling </w:t>
            </w:r>
            <w:r w:rsidR="00574CAB" w:rsidRPr="00574CAB">
              <w:rPr>
                <w:bCs/>
                <w:sz w:val="24"/>
                <w:szCs w:val="24"/>
              </w:rPr>
              <w:t>postoperative pain in patients undergoing total hip arthroplasty (THA).</w:t>
            </w:r>
          </w:p>
          <w:p w14:paraId="1BBBEA73" w14:textId="763AB82B" w:rsidR="00FF6C8A" w:rsidRDefault="00C314F3" w:rsidP="00FF6C8A">
            <w:pPr>
              <w:jc w:val="both"/>
              <w:rPr>
                <w:sz w:val="24"/>
                <w:szCs w:val="24"/>
              </w:rPr>
            </w:pPr>
            <w:r w:rsidRPr="00DE76A3">
              <w:rPr>
                <w:b/>
                <w:sz w:val="24"/>
                <w:szCs w:val="24"/>
              </w:rPr>
              <w:t>Background:</w:t>
            </w:r>
            <w:r w:rsidR="00486F01">
              <w:rPr>
                <w:b/>
                <w:sz w:val="24"/>
                <w:szCs w:val="24"/>
              </w:rPr>
              <w:t xml:space="preserve"> </w:t>
            </w:r>
            <w:r w:rsidR="00574CAB">
              <w:rPr>
                <w:sz w:val="24"/>
                <w:szCs w:val="24"/>
              </w:rPr>
              <w:t>THA c</w:t>
            </w:r>
            <w:r w:rsidR="00574CAB" w:rsidRPr="00574CAB">
              <w:rPr>
                <w:sz w:val="24"/>
                <w:szCs w:val="24"/>
              </w:rPr>
              <w:t>ommonly leads to significant acute postoperative pain, typically peaking within the initial 24 hours following the procedure</w:t>
            </w:r>
            <w:r w:rsidR="00FF6C8A">
              <w:rPr>
                <w:sz w:val="24"/>
                <w:szCs w:val="24"/>
              </w:rPr>
              <w:t>.</w:t>
            </w:r>
            <w:r w:rsidR="00574CAB" w:rsidRPr="00574CAB">
              <w:rPr>
                <w:sz w:val="24"/>
                <w:szCs w:val="24"/>
                <w:vertAlign w:val="superscript"/>
              </w:rPr>
              <w:t>1</w:t>
            </w:r>
            <w:r w:rsidR="00FF6C8A">
              <w:rPr>
                <w:sz w:val="24"/>
                <w:szCs w:val="24"/>
              </w:rPr>
              <w:t xml:space="preserve"> </w:t>
            </w:r>
            <w:r w:rsidR="00574CAB" w:rsidRPr="00574CAB">
              <w:rPr>
                <w:sz w:val="24"/>
                <w:szCs w:val="24"/>
              </w:rPr>
              <w:t xml:space="preserve">Recent procedure-specific guidelines recommend SFIB or </w:t>
            </w:r>
            <w:r w:rsidR="00574CAB">
              <w:rPr>
                <w:sz w:val="24"/>
                <w:szCs w:val="24"/>
              </w:rPr>
              <w:t>PAI</w:t>
            </w:r>
            <w:r w:rsidR="00574CAB" w:rsidRPr="00574CAB">
              <w:rPr>
                <w:sz w:val="24"/>
                <w:szCs w:val="24"/>
              </w:rPr>
              <w:t xml:space="preserve"> to manage the postoperative pain trajectory.</w:t>
            </w:r>
            <w:r w:rsidR="00574CAB" w:rsidRPr="00574CAB">
              <w:rPr>
                <w:sz w:val="24"/>
                <w:szCs w:val="24"/>
                <w:vertAlign w:val="superscript"/>
              </w:rPr>
              <w:t>2</w:t>
            </w:r>
            <w:r w:rsidR="00574CAB" w:rsidRPr="00574CAB">
              <w:rPr>
                <w:sz w:val="24"/>
                <w:szCs w:val="24"/>
              </w:rPr>
              <w:t xml:space="preserve"> PENG block has also demonstrated efficacy in this context</w:t>
            </w:r>
            <w:r w:rsidR="00FF6C8A" w:rsidRPr="00C23E54">
              <w:rPr>
                <w:sz w:val="24"/>
                <w:szCs w:val="24"/>
              </w:rPr>
              <w:t>.</w:t>
            </w:r>
            <w:r w:rsidR="00FF6C8A" w:rsidRPr="003625C5">
              <w:rPr>
                <w:sz w:val="24"/>
                <w:szCs w:val="24"/>
                <w:vertAlign w:val="superscript"/>
              </w:rPr>
              <w:t>3</w:t>
            </w:r>
            <w:r w:rsidR="00574CAB">
              <w:rPr>
                <w:sz w:val="24"/>
                <w:szCs w:val="24"/>
                <w:vertAlign w:val="superscript"/>
              </w:rPr>
              <w:t xml:space="preserve"> </w:t>
            </w:r>
            <w:r w:rsidR="00574CAB" w:rsidRPr="00574CAB">
              <w:rPr>
                <w:sz w:val="24"/>
                <w:szCs w:val="24"/>
              </w:rPr>
              <w:t>The objective of this study was to evaluate the impact of these techniques on both resting and dynamic pain levels within the initial 24 hours following THA</w:t>
            </w:r>
            <w:r w:rsidR="00574CAB">
              <w:rPr>
                <w:sz w:val="24"/>
                <w:szCs w:val="24"/>
              </w:rPr>
              <w:t>.</w:t>
            </w:r>
          </w:p>
          <w:p w14:paraId="5E8CFCFA" w14:textId="2B5D552E" w:rsidR="00B846A4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7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Methods:</w:t>
            </w:r>
            <w:r w:rsidR="00486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616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Between 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January 11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and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May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  <w:r w:rsidR="00486F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2023,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47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patients scheduled for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THA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were enrolled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 this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F6C8A"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prospective,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double-blinded, randomized,</w:t>
            </w:r>
            <w:r w:rsidR="00FF6C8A"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controlled trial.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Trial was approved by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‘</w:t>
            </w:r>
            <w:proofErr w:type="spellStart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Comité</w:t>
            </w:r>
            <w:proofErr w:type="spellEnd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d’Ethique</w:t>
            </w:r>
            <w:proofErr w:type="spellEnd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Hospitalo-Facultaire</w:t>
            </w:r>
            <w:proofErr w:type="spellEnd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Universitaire</w:t>
            </w:r>
            <w:proofErr w:type="spellEnd"/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de Liège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="00FF6C8A" w:rsidRPr="00D9462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tudy number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FF6C8A" w:rsidRPr="00D9462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2022/174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and registered in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European Clinical Trial Register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EudraCT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="00FF6C8A" w:rsidRPr="00A712E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 w:eastAsia="fr-BE"/>
              </w:rPr>
              <w:t>2022-002250-97</w:t>
            </w:r>
            <w:r w:rsidR="00FF6C8A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 w:eastAsia="fr-BE"/>
              </w:rPr>
              <w:t>)</w:t>
            </w:r>
            <w:r w:rsidR="00FF6C8A" w:rsidRPr="00A712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Consenting p</w:t>
            </w:r>
            <w:r w:rsidR="00FF6C8A" w:rsidRPr="00A712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atients were </w:t>
            </w:r>
            <w:r w:rsidR="003757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randomized</w:t>
            </w:r>
            <w:r w:rsidR="00FF6C8A"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into t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hree</w:t>
            </w:r>
            <w:r w:rsidR="00FF6C8A"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groups.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All patients </w:t>
            </w:r>
            <w:r w:rsidR="00FF6C8A"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received spinal anesthesia.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According to group allocation, patients 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received either SFIB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40mL ropivacaine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0.375% (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SFIB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16 patients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or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saline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(PAI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15 patients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],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or PENG </w:t>
            </w:r>
            <w:r w:rsid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block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20mL ropivacaine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0.75% 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(PENG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16 patients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574CAB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or </w:t>
            </w:r>
            <w:r w:rsid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saline</w:t>
            </w:r>
            <w:r w:rsidR="00574CAB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(PAI</w:t>
            </w:r>
            <w:r w:rsid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 w:rsidR="00574CAB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All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patients 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received PAI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[40mL 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ropivacaine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0.375% 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(PAI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or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saline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(SFIB and PENG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</w:t>
            </w:r>
            <w:r w:rsidR="00FF6C8A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</w:t>
            </w:r>
            <w:r w:rsidR="00FF6C8A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74CAB" w:rsidRP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 blinded observer recorded the progression of both resting and mobilization pain using a 0 to 10 numeric rating scale at predetermined time intervals: 6 hours post-surgery, and at 8 a.m., 1 p.m., and 6 p.m. on the first day following surgery.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total morphine consumption during the first 48 hours was also recorded.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74CAB" w:rsidRP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Data were analyzed using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Kruskal-Wallis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ANOVA one-way or </w:t>
            </w:r>
            <w:r w:rsidR="00574CAB" w:rsidRPr="00574C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generalized linear mixed model tests, with statistical significance set at a two-tailed P-value &lt;0.05.</w:t>
            </w:r>
          </w:p>
          <w:p w14:paraId="1A806497" w14:textId="59B44A96" w:rsidR="00FF6C8A" w:rsidRPr="005D4A46" w:rsidRDefault="008713B6" w:rsidP="00FF6C8A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F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Results: </w:t>
            </w:r>
            <w:r w:rsidR="00E616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F6C8A" w:rsidRPr="00A712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Demographic characteristics were comparable between groups.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 </w:t>
            </w:r>
            <w:r w:rsidR="00E616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significant</w:t>
            </w:r>
            <w:r w:rsidR="00E61620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nteraction between time and group was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found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rest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FF6C8A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F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(</w:t>
            </w:r>
            <w:proofErr w:type="gramEnd"/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5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7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/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126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)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.8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; </w:t>
            </w:r>
            <w:r w:rsidR="00FF6C8A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=0.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55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),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 dynamic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="00FF6C8A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F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(3.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7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/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81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6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)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; </w:t>
            </w:r>
            <w:r w:rsidR="00FF6C8A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=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86</w:t>
            </w:r>
            <w:r w:rsidR="00FF6C8A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pain as assessed by </w:t>
            </w:r>
            <w:r w:rsidR="00E616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RS during the first 24 hours after surgery. Total morphine consumption 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[mg, mean (SD)]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during first postoperative 48 hours was similar between groups 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[7.4 (3.3) vs 7.8 (2.3) vs 8.4 (2.4) for PENG, SFIB and PAI groups, respectively; </w:t>
            </w:r>
            <w:r w:rsidR="006D11C7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6D11C7" w:rsidRPr="006D11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=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0.6]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610BFDA4" w14:textId="749E4FBB" w:rsidR="00B846A4" w:rsidRDefault="001B3036" w:rsidP="006D11C7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F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Conclusions:</w:t>
            </w:r>
            <w:r w:rsidRPr="00AF5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 THA, PENG, PAI, and SFIB ensure a similar postoperative pain trajectory both at rest and during mobilization, 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without</w:t>
            </w:r>
            <w:r w:rsidR="006D11C7" w:rsidRP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difference in total postoperative morphine consumption.</w:t>
            </w:r>
            <w:r w:rsidR="006D11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F6C8A"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These results 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need to</w:t>
            </w:r>
            <w:r w:rsidR="00FF6C8A"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be confirmed once the planned sample size of the study (</w:t>
            </w:r>
            <w:r w:rsidR="00FF6C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219</w:t>
            </w:r>
            <w:r w:rsidR="00FF6C8A"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 will have been recruited.</w:t>
            </w:r>
          </w:p>
          <w:p w14:paraId="38AD45EB" w14:textId="77777777" w:rsidR="00E61620" w:rsidRDefault="00E61620" w:rsidP="00B846A4">
            <w:pPr>
              <w:pStyle w:val="Corps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</w:pPr>
          </w:p>
          <w:p w14:paraId="45DFB6A9" w14:textId="77777777" w:rsidR="00E61620" w:rsidRDefault="00E61620" w:rsidP="00FF6C8A">
            <w:pPr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  <w:p w14:paraId="3507FB8A" w14:textId="7865A0B5" w:rsidR="00FF6C8A" w:rsidRDefault="00D94626" w:rsidP="00FF6C8A">
            <w:pPr>
              <w:rPr>
                <w:rStyle w:val="apple-converted-space"/>
                <w:color w:val="212121"/>
                <w:sz w:val="24"/>
                <w:szCs w:val="24"/>
                <w:shd w:val="clear" w:color="auto" w:fill="FFFFFF"/>
              </w:rPr>
            </w:pPr>
            <w:r w:rsidRPr="00384832"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>Declaration of interests</w:t>
            </w:r>
            <w:r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  <w:r w:rsidR="00E61620"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F6C8A" w:rsidRPr="00D7049E">
              <w:rPr>
                <w:rStyle w:val="apple-converted-space"/>
                <w:color w:val="212121"/>
                <w:sz w:val="24"/>
                <w:szCs w:val="24"/>
                <w:shd w:val="clear" w:color="auto" w:fill="FFFFFF"/>
              </w:rPr>
              <w:t>The authors declare having no conflict of interest to disclose in relation with this work.</w:t>
            </w:r>
          </w:p>
          <w:p w14:paraId="1F1731D3" w14:textId="6DD32F9F" w:rsidR="00D94626" w:rsidRDefault="00D94626" w:rsidP="00D94626">
            <w:pPr>
              <w:rPr>
                <w:sz w:val="24"/>
                <w:szCs w:val="24"/>
              </w:rPr>
            </w:pPr>
            <w:r w:rsidRPr="00384832"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>Funding</w:t>
            </w:r>
            <w:r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  <w:r w:rsidR="00E61620">
              <w:rPr>
                <w:rStyle w:val="apple-converted-space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D7049E">
              <w:rPr>
                <w:rStyle w:val="apple-converted-space"/>
                <w:color w:val="212121"/>
                <w:sz w:val="24"/>
                <w:szCs w:val="24"/>
                <w:shd w:val="clear" w:color="auto" w:fill="FFFFFF"/>
              </w:rPr>
              <w:t>This work was supported by the Department of Anesthesia and Intensive Care Medicine, Liege University Hospital, Liege, Belgium</w:t>
            </w:r>
          </w:p>
          <w:p w14:paraId="6232C572" w14:textId="5552B7BE" w:rsidR="00485448" w:rsidRPr="0037573F" w:rsidRDefault="001B3036" w:rsidP="00160820">
            <w:pPr>
              <w:rPr>
                <w:rFonts w:ascii="Times" w:hAnsi="Times"/>
                <w:sz w:val="20"/>
                <w:lang w:val="en-GB" w:eastAsia="fr-FR"/>
              </w:rPr>
            </w:pPr>
            <w:r w:rsidRPr="00AF5DCE">
              <w:rPr>
                <w:b/>
                <w:sz w:val="24"/>
                <w:szCs w:val="24"/>
              </w:rPr>
              <w:t>Refer</w:t>
            </w:r>
            <w:r w:rsidR="00C314F3" w:rsidRPr="00AF5DCE">
              <w:rPr>
                <w:b/>
                <w:sz w:val="24"/>
                <w:szCs w:val="24"/>
              </w:rPr>
              <w:t>ences:</w:t>
            </w:r>
            <w:r w:rsidR="00E61620">
              <w:rPr>
                <w:sz w:val="20"/>
              </w:rPr>
              <w:t xml:space="preserve"> </w:t>
            </w:r>
            <w:r w:rsidR="00E61620" w:rsidRPr="00160820">
              <w:rPr>
                <w:sz w:val="20"/>
              </w:rPr>
              <w:t>1</w:t>
            </w:r>
            <w:r w:rsidR="00E61620">
              <w:rPr>
                <w:sz w:val="20"/>
              </w:rPr>
              <w:t xml:space="preserve">. </w:t>
            </w:r>
            <w:proofErr w:type="spellStart"/>
            <w:r w:rsidR="00CB4504" w:rsidRPr="00E61620">
              <w:rPr>
                <w:sz w:val="20"/>
              </w:rPr>
              <w:t>Panzenbeck</w:t>
            </w:r>
            <w:proofErr w:type="spellEnd"/>
            <w:r w:rsidR="00CB4504" w:rsidRPr="00CB4504">
              <w:rPr>
                <w:sz w:val="20"/>
              </w:rPr>
              <w:t xml:space="preserve"> P, von </w:t>
            </w:r>
            <w:proofErr w:type="spellStart"/>
            <w:r w:rsidR="00CB4504" w:rsidRPr="00CB4504">
              <w:rPr>
                <w:sz w:val="20"/>
              </w:rPr>
              <w:t>Keudell</w:t>
            </w:r>
            <w:proofErr w:type="spellEnd"/>
            <w:r w:rsidR="00CB4504" w:rsidRPr="00CB4504">
              <w:rPr>
                <w:sz w:val="20"/>
              </w:rPr>
              <w:t xml:space="preserve"> A, Joshi GP, </w:t>
            </w:r>
            <w:r w:rsidR="00CB4504">
              <w:rPr>
                <w:sz w:val="20"/>
              </w:rPr>
              <w:t>et al</w:t>
            </w:r>
            <w:r w:rsidR="00CB4504" w:rsidRPr="00CB4504">
              <w:rPr>
                <w:sz w:val="20"/>
              </w:rPr>
              <w:t xml:space="preserve">. </w:t>
            </w:r>
            <w:r w:rsidR="00CB4504" w:rsidRPr="0037573F">
              <w:rPr>
                <w:sz w:val="20"/>
                <w:lang w:val="fr-BE"/>
              </w:rPr>
              <w:t xml:space="preserve">Br J </w:t>
            </w:r>
            <w:proofErr w:type="spellStart"/>
            <w:r w:rsidR="00CB4504" w:rsidRPr="0037573F">
              <w:rPr>
                <w:sz w:val="20"/>
                <w:lang w:val="fr-BE"/>
              </w:rPr>
              <w:t>Anaesth</w:t>
            </w:r>
            <w:proofErr w:type="spellEnd"/>
            <w:r w:rsidR="00CB4504" w:rsidRPr="0037573F">
              <w:rPr>
                <w:sz w:val="20"/>
                <w:lang w:val="fr-BE"/>
              </w:rPr>
              <w:t xml:space="preserve">. 2021 </w:t>
            </w:r>
            <w:proofErr w:type="gramStart"/>
            <w:r w:rsidR="00CB4504" w:rsidRPr="0037573F">
              <w:rPr>
                <w:sz w:val="20"/>
                <w:lang w:val="fr-BE"/>
              </w:rPr>
              <w:t>Jul;</w:t>
            </w:r>
            <w:proofErr w:type="gramEnd"/>
            <w:r w:rsidR="00CB4504" w:rsidRPr="0037573F">
              <w:rPr>
                <w:sz w:val="20"/>
                <w:lang w:val="fr-BE"/>
              </w:rPr>
              <w:t>127(1):110-132</w:t>
            </w:r>
            <w:r w:rsidR="00E61620" w:rsidRPr="0037573F">
              <w:rPr>
                <w:sz w:val="20"/>
                <w:lang w:val="fr-BE"/>
              </w:rPr>
              <w:t xml:space="preserve">; 2. </w:t>
            </w:r>
            <w:r w:rsidR="00CB4504" w:rsidRPr="0037573F">
              <w:rPr>
                <w:sz w:val="20"/>
                <w:lang w:val="fr-BE"/>
              </w:rPr>
              <w:t xml:space="preserve">Anger M, </w:t>
            </w:r>
            <w:proofErr w:type="spellStart"/>
            <w:r w:rsidR="00CB4504" w:rsidRPr="0037573F">
              <w:rPr>
                <w:sz w:val="20"/>
                <w:lang w:val="fr-BE"/>
              </w:rPr>
              <w:t>Valovska</w:t>
            </w:r>
            <w:proofErr w:type="spellEnd"/>
            <w:r w:rsidR="00CB4504" w:rsidRPr="0037573F">
              <w:rPr>
                <w:sz w:val="20"/>
                <w:lang w:val="fr-BE"/>
              </w:rPr>
              <w:t xml:space="preserve"> T, Beloeil H, et al.</w:t>
            </w:r>
            <w:r w:rsidR="00E61620" w:rsidRPr="0037573F">
              <w:rPr>
                <w:sz w:val="20"/>
                <w:lang w:val="fr-BE"/>
              </w:rPr>
              <w:t xml:space="preserve"> </w:t>
            </w:r>
            <w:proofErr w:type="spellStart"/>
            <w:r w:rsidR="00CB4504" w:rsidRPr="00CB4504">
              <w:rPr>
                <w:sz w:val="20"/>
              </w:rPr>
              <w:t>Anaesthesia</w:t>
            </w:r>
            <w:proofErr w:type="spellEnd"/>
            <w:r w:rsidR="00CB4504" w:rsidRPr="00CB4504">
              <w:rPr>
                <w:sz w:val="20"/>
              </w:rPr>
              <w:t>. 2021 Aug;76(8):1082-1097</w:t>
            </w:r>
            <w:r w:rsidR="00E61620">
              <w:rPr>
                <w:sz w:val="20"/>
              </w:rPr>
              <w:t xml:space="preserve">; 3. </w:t>
            </w:r>
            <w:r w:rsidR="00CB4504" w:rsidRPr="0037573F">
              <w:rPr>
                <w:sz w:val="20"/>
                <w:lang w:val="en-GB"/>
              </w:rPr>
              <w:t xml:space="preserve">Aliste J, </w:t>
            </w:r>
            <w:proofErr w:type="spellStart"/>
            <w:r w:rsidR="00CB4504" w:rsidRPr="0037573F">
              <w:rPr>
                <w:sz w:val="20"/>
                <w:lang w:val="en-GB"/>
              </w:rPr>
              <w:t>Layera</w:t>
            </w:r>
            <w:proofErr w:type="spellEnd"/>
            <w:r w:rsidR="00CB4504" w:rsidRPr="0037573F">
              <w:rPr>
                <w:sz w:val="20"/>
                <w:lang w:val="en-GB"/>
              </w:rPr>
              <w:t xml:space="preserve"> S, Bravo D, et al. </w:t>
            </w:r>
            <w:r w:rsidR="00CB4504" w:rsidRPr="00CB4504">
              <w:rPr>
                <w:sz w:val="20"/>
              </w:rPr>
              <w:t xml:space="preserve">Reg </w:t>
            </w:r>
            <w:proofErr w:type="spellStart"/>
            <w:r w:rsidR="00CB4504" w:rsidRPr="00CB4504">
              <w:rPr>
                <w:sz w:val="20"/>
              </w:rPr>
              <w:t>Anesth</w:t>
            </w:r>
            <w:proofErr w:type="spellEnd"/>
            <w:r w:rsidR="00CB4504" w:rsidRPr="00CB4504">
              <w:rPr>
                <w:sz w:val="20"/>
              </w:rPr>
              <w:t xml:space="preserve"> Pain Med. 2021 Oct;46(10):874-878.</w:t>
            </w:r>
          </w:p>
          <w:p w14:paraId="6794D924" w14:textId="77777777" w:rsidR="001F722E" w:rsidRDefault="001F722E" w:rsidP="001B3036">
            <w:pPr>
              <w:rPr>
                <w:sz w:val="24"/>
                <w:szCs w:val="24"/>
              </w:rPr>
            </w:pPr>
          </w:p>
          <w:p w14:paraId="528218F9" w14:textId="77777777" w:rsidR="00AF5DCE" w:rsidRDefault="00AF5DCE" w:rsidP="00C21118">
            <w:pPr>
              <w:jc w:val="center"/>
              <w:rPr>
                <w:sz w:val="24"/>
                <w:szCs w:val="24"/>
              </w:rPr>
            </w:pPr>
          </w:p>
          <w:p w14:paraId="2C083CA9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0AA22449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613EE7E4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1AFD7692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74C4F83E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60502A18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093652DE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549976B5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29C1F953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767A090D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7A0F32B9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6204CFFE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02E2254D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5F058D05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5E57C523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7D34A082" w14:textId="77777777" w:rsidR="00160820" w:rsidRDefault="00160820" w:rsidP="00C21118">
            <w:pPr>
              <w:jc w:val="center"/>
              <w:rPr>
                <w:sz w:val="24"/>
                <w:szCs w:val="24"/>
              </w:rPr>
            </w:pPr>
          </w:p>
          <w:p w14:paraId="34876F5C" w14:textId="593FEAD7" w:rsidR="00160820" w:rsidRPr="00AF5DCE" w:rsidRDefault="00160820" w:rsidP="00C211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211BBE" wp14:editId="45E5998D">
                  <wp:extent cx="6552246" cy="4629873"/>
                  <wp:effectExtent l="0" t="0" r="0" b="0"/>
                  <wp:docPr id="131917070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170700" name="Immagine 131917070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872" cy="46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9F6A5" w14:textId="77777777" w:rsidR="001B3036" w:rsidRDefault="001B3036" w:rsidP="00710143">
      <w:pPr>
        <w:rPr>
          <w:color w:val="00CCFF"/>
          <w:sz w:val="24"/>
        </w:rPr>
      </w:pPr>
    </w:p>
    <w:sectPr w:rsidR="001B3036" w:rsidSect="00FF1D80">
      <w:footerReference w:type="default" r:id="rId8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737" w14:textId="77777777" w:rsidR="00070739" w:rsidRDefault="00070739" w:rsidP="00E86EB8">
      <w:r>
        <w:separator/>
      </w:r>
    </w:p>
  </w:endnote>
  <w:endnote w:type="continuationSeparator" w:id="0">
    <w:p w14:paraId="588452E9" w14:textId="77777777" w:rsidR="00070739" w:rsidRDefault="00070739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Pieddepage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5A5E" w14:textId="77777777" w:rsidR="00070739" w:rsidRDefault="00070739" w:rsidP="00E86EB8">
      <w:r>
        <w:separator/>
      </w:r>
    </w:p>
  </w:footnote>
  <w:footnote w:type="continuationSeparator" w:id="0">
    <w:p w14:paraId="5E79F106" w14:textId="77777777" w:rsidR="00070739" w:rsidRDefault="00070739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948"/>
    <w:multiLevelType w:val="hybridMultilevel"/>
    <w:tmpl w:val="F37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3868"/>
    <w:multiLevelType w:val="hybridMultilevel"/>
    <w:tmpl w:val="DDDCD8E6"/>
    <w:lvl w:ilvl="0" w:tplc="8F8C5A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17230">
    <w:abstractNumId w:val="0"/>
  </w:num>
  <w:num w:numId="2" w16cid:durableId="1530069450">
    <w:abstractNumId w:val="2"/>
  </w:num>
  <w:num w:numId="3" w16cid:durableId="67727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04"/>
    <w:rsid w:val="000202C7"/>
    <w:rsid w:val="000414B4"/>
    <w:rsid w:val="00070739"/>
    <w:rsid w:val="000902D3"/>
    <w:rsid w:val="000B11AB"/>
    <w:rsid w:val="00107C6E"/>
    <w:rsid w:val="00110ECA"/>
    <w:rsid w:val="00112E04"/>
    <w:rsid w:val="0012337A"/>
    <w:rsid w:val="00143AFC"/>
    <w:rsid w:val="00146354"/>
    <w:rsid w:val="00160820"/>
    <w:rsid w:val="001669DE"/>
    <w:rsid w:val="0017176A"/>
    <w:rsid w:val="00192445"/>
    <w:rsid w:val="001A2461"/>
    <w:rsid w:val="001B3036"/>
    <w:rsid w:val="001D0C93"/>
    <w:rsid w:val="001F722E"/>
    <w:rsid w:val="0020293A"/>
    <w:rsid w:val="00206C7C"/>
    <w:rsid w:val="00213733"/>
    <w:rsid w:val="00216254"/>
    <w:rsid w:val="00244525"/>
    <w:rsid w:val="002849DB"/>
    <w:rsid w:val="002B53B6"/>
    <w:rsid w:val="003022DC"/>
    <w:rsid w:val="00372848"/>
    <w:rsid w:val="0037573F"/>
    <w:rsid w:val="003C5450"/>
    <w:rsid w:val="003C7393"/>
    <w:rsid w:val="003D3BBF"/>
    <w:rsid w:val="003E595F"/>
    <w:rsid w:val="003F71A9"/>
    <w:rsid w:val="00403CBD"/>
    <w:rsid w:val="0046418E"/>
    <w:rsid w:val="00480D0D"/>
    <w:rsid w:val="00485448"/>
    <w:rsid w:val="00486F01"/>
    <w:rsid w:val="0049058F"/>
    <w:rsid w:val="004913D8"/>
    <w:rsid w:val="004A6FAF"/>
    <w:rsid w:val="004B501F"/>
    <w:rsid w:val="004D4FED"/>
    <w:rsid w:val="004F4F8B"/>
    <w:rsid w:val="005203D5"/>
    <w:rsid w:val="00523FA8"/>
    <w:rsid w:val="005558FA"/>
    <w:rsid w:val="00574CAB"/>
    <w:rsid w:val="005A701F"/>
    <w:rsid w:val="005C053D"/>
    <w:rsid w:val="005D4A46"/>
    <w:rsid w:val="005D79BF"/>
    <w:rsid w:val="005E1095"/>
    <w:rsid w:val="006028A0"/>
    <w:rsid w:val="006733C8"/>
    <w:rsid w:val="006838B0"/>
    <w:rsid w:val="00683C8B"/>
    <w:rsid w:val="00686806"/>
    <w:rsid w:val="00694262"/>
    <w:rsid w:val="0069458A"/>
    <w:rsid w:val="00696B2D"/>
    <w:rsid w:val="006A4731"/>
    <w:rsid w:val="006D11C7"/>
    <w:rsid w:val="006D737D"/>
    <w:rsid w:val="006E76E1"/>
    <w:rsid w:val="00710143"/>
    <w:rsid w:val="00715AB3"/>
    <w:rsid w:val="0075491C"/>
    <w:rsid w:val="007666CB"/>
    <w:rsid w:val="007937B7"/>
    <w:rsid w:val="007A15F2"/>
    <w:rsid w:val="007A40D0"/>
    <w:rsid w:val="007B2348"/>
    <w:rsid w:val="007C684D"/>
    <w:rsid w:val="007D6607"/>
    <w:rsid w:val="007F7A2D"/>
    <w:rsid w:val="00834693"/>
    <w:rsid w:val="0084465F"/>
    <w:rsid w:val="0084753F"/>
    <w:rsid w:val="008713B6"/>
    <w:rsid w:val="008B205E"/>
    <w:rsid w:val="008C2125"/>
    <w:rsid w:val="008C4E8F"/>
    <w:rsid w:val="008C5ACB"/>
    <w:rsid w:val="008C61D8"/>
    <w:rsid w:val="00922050"/>
    <w:rsid w:val="00960867"/>
    <w:rsid w:val="00962E22"/>
    <w:rsid w:val="00990D79"/>
    <w:rsid w:val="00991B75"/>
    <w:rsid w:val="009B1433"/>
    <w:rsid w:val="009B2DE0"/>
    <w:rsid w:val="009E744E"/>
    <w:rsid w:val="00A074A9"/>
    <w:rsid w:val="00A37C3D"/>
    <w:rsid w:val="00A712EB"/>
    <w:rsid w:val="00A86AE9"/>
    <w:rsid w:val="00AA0092"/>
    <w:rsid w:val="00AA1BD0"/>
    <w:rsid w:val="00AB3219"/>
    <w:rsid w:val="00AB6D7A"/>
    <w:rsid w:val="00AB7AE3"/>
    <w:rsid w:val="00AC3F3D"/>
    <w:rsid w:val="00AF5DCE"/>
    <w:rsid w:val="00B30B5B"/>
    <w:rsid w:val="00B40030"/>
    <w:rsid w:val="00B4176C"/>
    <w:rsid w:val="00B55868"/>
    <w:rsid w:val="00B5606D"/>
    <w:rsid w:val="00B66BE0"/>
    <w:rsid w:val="00B77417"/>
    <w:rsid w:val="00B8418A"/>
    <w:rsid w:val="00B846A4"/>
    <w:rsid w:val="00BA1D7B"/>
    <w:rsid w:val="00BF3C12"/>
    <w:rsid w:val="00C21118"/>
    <w:rsid w:val="00C314F3"/>
    <w:rsid w:val="00C41F9F"/>
    <w:rsid w:val="00C61B08"/>
    <w:rsid w:val="00C63029"/>
    <w:rsid w:val="00C76E98"/>
    <w:rsid w:val="00CA2E8A"/>
    <w:rsid w:val="00CB2ECD"/>
    <w:rsid w:val="00CB4504"/>
    <w:rsid w:val="00CC1CFE"/>
    <w:rsid w:val="00CD4106"/>
    <w:rsid w:val="00CE1655"/>
    <w:rsid w:val="00D12FB4"/>
    <w:rsid w:val="00D77D83"/>
    <w:rsid w:val="00D8606C"/>
    <w:rsid w:val="00D9273D"/>
    <w:rsid w:val="00D94626"/>
    <w:rsid w:val="00DA4503"/>
    <w:rsid w:val="00DB3A9C"/>
    <w:rsid w:val="00DB4901"/>
    <w:rsid w:val="00DC1717"/>
    <w:rsid w:val="00DD0E0A"/>
    <w:rsid w:val="00DE3043"/>
    <w:rsid w:val="00DE76A3"/>
    <w:rsid w:val="00E04820"/>
    <w:rsid w:val="00E14CBD"/>
    <w:rsid w:val="00E26378"/>
    <w:rsid w:val="00E40CE6"/>
    <w:rsid w:val="00E512F5"/>
    <w:rsid w:val="00E52819"/>
    <w:rsid w:val="00E53814"/>
    <w:rsid w:val="00E61620"/>
    <w:rsid w:val="00E63FC7"/>
    <w:rsid w:val="00E646AF"/>
    <w:rsid w:val="00E77D36"/>
    <w:rsid w:val="00E86EB8"/>
    <w:rsid w:val="00EA41D8"/>
    <w:rsid w:val="00EC2B20"/>
    <w:rsid w:val="00F10939"/>
    <w:rsid w:val="00F874D7"/>
    <w:rsid w:val="00F87F06"/>
    <w:rsid w:val="00F93AF8"/>
    <w:rsid w:val="00FA2661"/>
    <w:rsid w:val="00FD2EEE"/>
    <w:rsid w:val="00FD5618"/>
    <w:rsid w:val="00FF1D8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lang w:val="en-US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Pr>
      <w:b/>
      <w:bCs/>
    </w:rPr>
  </w:style>
  <w:style w:type="paragraph" w:customStyle="1" w:styleId="Normal1">
    <w:name w:val="Normal1"/>
    <w:basedOn w:val="Normal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Grilledutableau">
    <w:name w:val="Table Grid"/>
    <w:basedOn w:val="TableauNorma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En-tte">
    <w:name w:val="header"/>
    <w:basedOn w:val="Normal"/>
    <w:link w:val="En-tteC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6EB8"/>
    <w:rPr>
      <w:sz w:val="22"/>
      <w:lang w:val="en-US" w:eastAsia="nl-NL"/>
    </w:rPr>
  </w:style>
  <w:style w:type="paragraph" w:styleId="Pieddepage">
    <w:name w:val="footer"/>
    <w:basedOn w:val="Normal"/>
    <w:link w:val="PieddepageC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6EB8"/>
    <w:rPr>
      <w:sz w:val="22"/>
      <w:lang w:val="en-US" w:eastAsia="nl-NL"/>
    </w:rPr>
  </w:style>
  <w:style w:type="paragraph" w:styleId="Rvision">
    <w:name w:val="Revision"/>
    <w:hidden/>
    <w:uiPriority w:val="99"/>
    <w:semiHidden/>
    <w:rsid w:val="00991B75"/>
    <w:rPr>
      <w:sz w:val="22"/>
      <w:lang w:val="en-US" w:eastAsia="nl-NL"/>
    </w:rPr>
  </w:style>
  <w:style w:type="character" w:customStyle="1" w:styleId="apple-converted-space">
    <w:name w:val="apple-converted-space"/>
    <w:basedOn w:val="Policepardfaut"/>
    <w:rsid w:val="005E1095"/>
  </w:style>
  <w:style w:type="paragraph" w:styleId="Lgende">
    <w:name w:val="caption"/>
    <w:basedOn w:val="Normal"/>
    <w:next w:val="Normal"/>
    <w:uiPriority w:val="35"/>
    <w:semiHidden/>
    <w:unhideWhenUsed/>
    <w:qFormat/>
    <w:rsid w:val="00E63FC7"/>
    <w:pPr>
      <w:spacing w:after="200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rsid w:val="00B846A4"/>
    <w:rPr>
      <w:u w:val="single"/>
    </w:rPr>
  </w:style>
  <w:style w:type="paragraph" w:styleId="Paragraphedeliste">
    <w:name w:val="List Paragraph"/>
    <w:basedOn w:val="Normal"/>
    <w:uiPriority w:val="34"/>
    <w:qFormat/>
    <w:rsid w:val="00CB4504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3C73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616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162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1620"/>
    <w:rPr>
      <w:lang w:val="en-US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20"/>
    <w:rPr>
      <w:b/>
      <w:bCs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4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963432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18710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0644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31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3968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401630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571375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44303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565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Abstract (in English)</vt:lpstr>
      <vt:lpstr>Abstract (in English)</vt:lpstr>
    </vt:vector>
  </TitlesOfParts>
  <Company>UZLEUVEN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Camille Noirfalisse</cp:lastModifiedBy>
  <cp:revision>2</cp:revision>
  <cp:lastPrinted>2019-02-12T09:49:00Z</cp:lastPrinted>
  <dcterms:created xsi:type="dcterms:W3CDTF">2024-03-20T17:55:00Z</dcterms:created>
  <dcterms:modified xsi:type="dcterms:W3CDTF">2024-03-20T17:55:00Z</dcterms:modified>
</cp:coreProperties>
</file>